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8"/>
        <w:contextualSpacing/>
        <w:jc w:val="center"/>
        <w:spacing w:after="0" w:line="240" w:lineRule="auto"/>
        <w:rPr>
          <w:rFonts w:ascii="Arial" w:hAnsi="Arial" w:cs="Arial"/>
          <w:b/>
          <w:color w:val="00000a"/>
        </w:rPr>
      </w:pPr>
      <w:r>
        <w:rPr>
          <w:rFonts w:ascii="Arial" w:hAnsi="Arial" w:cs="Arial"/>
          <w:b/>
          <w:color w:val="00000a"/>
        </w:rPr>
        <w:t xml:space="preserve">Уведомление</w:t>
      </w:r>
      <w:r>
        <w:rPr>
          <w:rFonts w:ascii="Arial" w:hAnsi="Arial" w:cs="Arial"/>
          <w:b/>
          <w:color w:val="00000a"/>
        </w:rPr>
      </w:r>
      <w:r>
        <w:rPr>
          <w:rFonts w:ascii="Arial" w:hAnsi="Arial" w:cs="Arial"/>
          <w:b/>
          <w:color w:val="00000a"/>
        </w:rPr>
      </w:r>
    </w:p>
    <w:p>
      <w:pPr>
        <w:pStyle w:val="638"/>
        <w:contextualSpacing/>
        <w:jc w:val="center"/>
        <w:spacing w:after="0" w:line="240" w:lineRule="auto"/>
      </w:pPr>
      <w:r>
        <w:rPr>
          <w:rFonts w:ascii="Arial" w:hAnsi="Arial" w:cs="Arial"/>
          <w:b/>
        </w:rPr>
        <w:t xml:space="preserve">об обсуждении идеи (концепции)</w:t>
      </w:r>
      <w:r/>
    </w:p>
    <w:p>
      <w:pPr>
        <w:pStyle w:val="638"/>
        <w:contextualSpacing/>
        <w:jc w:val="center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предлагаемого правового регулирования</w: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pStyle w:val="667"/>
        <w:contextualSpacing/>
        <w:jc w:val="center"/>
        <w:spacing w:before="0" w:after="0"/>
      </w:pPr>
      <w:r>
        <w:rPr>
          <w:rFonts w:ascii="Arial" w:hAnsi="Arial" w:cs="Arial"/>
          <w:b/>
          <w:sz w:val="22"/>
        </w:rPr>
        <w:t xml:space="preserve">постановление </w:t>
      </w:r>
      <w:r>
        <w:rPr>
          <w:rFonts w:ascii="Arial" w:hAnsi="Arial" w:cs="Arial"/>
          <w:b/>
          <w:sz w:val="22"/>
        </w:rPr>
        <w:t xml:space="preserve">Департамента государственного регулирования цен и тарифов Курганской области </w:t>
      </w:r>
      <w:r>
        <w:rPr>
          <w:rFonts w:ascii="Arial" w:hAnsi="Arial" w:cs="Arial"/>
          <w:b/>
          <w:sz w:val="22"/>
        </w:rPr>
        <w:t xml:space="preserve">«О</w:t>
      </w:r>
      <w:r>
        <w:rPr>
          <w:rFonts w:ascii="Arial" w:hAnsi="Arial" w:cs="Arial"/>
          <w:b/>
          <w:sz w:val="22"/>
        </w:rPr>
        <w:t xml:space="preserve">б утверждении </w:t>
      </w:r>
      <w:r>
        <w:rPr>
          <w:rFonts w:ascii="Arial" w:hAnsi="Arial" w:cs="Arial"/>
          <w:b/>
          <w:sz w:val="22"/>
        </w:rPr>
        <w:t xml:space="preserve">примерных </w:t>
      </w:r>
      <w:r>
        <w:rPr>
          <w:rFonts w:ascii="Arial" w:hAnsi="Arial" w:cs="Arial"/>
          <w:b/>
          <w:sz w:val="22"/>
        </w:rPr>
        <w:t xml:space="preserve">форм </w:t>
      </w:r>
      <w:r>
        <w:rPr>
          <w:rFonts w:ascii="Arial" w:hAnsi="Arial" w:cs="Arial"/>
          <w:b/>
          <w:sz w:val="22"/>
        </w:rPr>
        <w:t xml:space="preserve">производственных программ</w:t>
      </w:r>
      <w:r>
        <w:rPr>
          <w:rFonts w:ascii="Arial" w:hAnsi="Arial" w:cs="Arial"/>
          <w:b/>
        </w:rPr>
        <w:t xml:space="preserve">»</w:t>
      </w:r>
      <w:r/>
    </w:p>
    <w:p>
      <w:pPr>
        <w:pStyle w:val="641"/>
        <w:contextualSpacing/>
        <w:jc w:val="center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pStyle w:val="638"/>
        <w:contextualSpacing/>
        <w:ind w:firstLine="735"/>
        <w:jc w:val="both"/>
        <w:spacing w:after="0" w:line="240" w:lineRule="auto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 xml:space="preserve">Настоящим Департамент государственного регулирован</w:t>
      </w:r>
      <w:r>
        <w:rPr>
          <w:rFonts w:ascii="Arial" w:hAnsi="Arial" w:cs="Arial"/>
          <w:color w:val="00000a"/>
        </w:rPr>
        <w:t xml:space="preserve">ия цен и тарифов Курганской области извещает о начале</w:t>
      </w:r>
      <w:r>
        <w:rPr>
          <w:rFonts w:ascii="Arial" w:hAnsi="Arial" w:cs="Arial"/>
          <w:color w:val="00000a"/>
        </w:rPr>
        <w:t xml:space="preserve"> </w:t>
      </w:r>
      <w:r>
        <w:rPr>
          <w:rFonts w:ascii="Arial" w:hAnsi="Arial" w:cs="Arial"/>
          <w:color w:val="00000a"/>
        </w:rPr>
        <w:t xml:space="preserve">  обсуждения</w:t>
      </w:r>
      <w:r>
        <w:rPr>
          <w:rFonts w:ascii="Arial" w:hAnsi="Arial" w:cs="Arial"/>
          <w:color w:val="00000a"/>
        </w:rPr>
        <w:t xml:space="preserve"> </w:t>
      </w:r>
      <w:r>
        <w:rPr>
          <w:rFonts w:ascii="Arial" w:hAnsi="Arial" w:cs="Arial"/>
          <w:color w:val="00000a"/>
        </w:rPr>
        <w:t xml:space="preserve">  идеи (концепции) предлагаемого правового регулирования и сбора предложений заинтересованных лиц.</w:t>
      </w:r>
      <w:r>
        <w:rPr>
          <w:rFonts w:ascii="Arial" w:hAnsi="Arial" w:cs="Arial"/>
          <w:color w:val="00000a"/>
        </w:rPr>
      </w:r>
      <w:r>
        <w:rPr>
          <w:rFonts w:ascii="Arial" w:hAnsi="Arial" w:cs="Arial"/>
          <w:color w:val="00000a"/>
        </w:rPr>
      </w:r>
    </w:p>
    <w:p>
      <w:pPr>
        <w:pStyle w:val="638"/>
        <w:contextualSpacing/>
        <w:ind w:firstLine="708"/>
        <w:jc w:val="both"/>
        <w:spacing w:after="0" w:line="240" w:lineRule="auto"/>
      </w:pPr>
      <w:r>
        <w:rPr>
          <w:rFonts w:ascii="Arial" w:hAnsi="Arial" w:cs="Arial"/>
          <w:color w:val="00000a"/>
        </w:rPr>
        <w:t xml:space="preserve">Предложения принимаются по адресу: г. Курган, ул. Гоголя, 25, каб. 80</w:t>
      </w:r>
      <w:r>
        <w:rPr>
          <w:rFonts w:ascii="Arial" w:hAnsi="Arial" w:cs="Arial"/>
          <w:color w:val="00000a"/>
        </w:rPr>
        <w:t xml:space="preserve">4</w:t>
      </w:r>
      <w:r>
        <w:rPr>
          <w:rFonts w:ascii="Arial" w:hAnsi="Arial" w:cs="Arial"/>
          <w:color w:val="00000a"/>
        </w:rPr>
        <w:t xml:space="preserve">, а также по адресу электронной почты: </w:t>
      </w:r>
      <w:r>
        <w:rPr>
          <w:rFonts w:ascii="Arial" w:hAnsi="Arial" w:cs="Arial"/>
          <w:color w:val="00000a"/>
          <w:lang w:val="en-US"/>
        </w:rPr>
        <w:t xml:space="preserve">dgrctko</w:t>
      </w:r>
      <w:r>
        <w:rPr>
          <w:rFonts w:ascii="Arial" w:hAnsi="Arial" w:cs="Arial"/>
          <w:color w:val="00000a"/>
        </w:rPr>
        <w:t xml:space="preserve">@</w:t>
      </w:r>
      <w:r>
        <w:rPr>
          <w:rFonts w:ascii="Arial" w:hAnsi="Arial" w:cs="Arial"/>
          <w:color w:val="00000a"/>
          <w:lang w:val="en-US"/>
        </w:rPr>
        <w:t xml:space="preserve">kurganobl</w:t>
      </w:r>
      <w:r>
        <w:rPr>
          <w:rFonts w:ascii="Arial" w:hAnsi="Arial" w:cs="Arial"/>
          <w:color w:val="00000a"/>
        </w:rPr>
        <w:t xml:space="preserve">.</w:t>
      </w:r>
      <w:r>
        <w:rPr>
          <w:rFonts w:ascii="Arial" w:hAnsi="Arial" w:cs="Arial"/>
          <w:color w:val="00000a"/>
          <w:lang w:val="en-US"/>
        </w:rPr>
        <w:t xml:space="preserve">ru</w:t>
      </w:r>
      <w:r>
        <w:rPr>
          <w:rFonts w:ascii="Arial" w:hAnsi="Arial" w:cs="Arial"/>
          <w:color w:val="00000a"/>
        </w:rPr>
        <w:t xml:space="preserve">.</w:t>
      </w:r>
      <w:r/>
    </w:p>
    <w:p>
      <w:pPr>
        <w:pStyle w:val="638"/>
        <w:contextualSpacing/>
        <w:ind w:firstLine="708"/>
        <w:jc w:val="both"/>
        <w:spacing w:after="0" w:line="240" w:lineRule="auto"/>
      </w:pPr>
      <w:r>
        <w:rPr>
          <w:rFonts w:ascii="Arial" w:hAnsi="Arial" w:cs="Arial"/>
          <w:color w:val="00000a"/>
        </w:rPr>
        <w:t xml:space="preserve">Сроки приема предложений: 5 рабочих дней со дня, следующего за днем размещения уведомления на официальном сайте.</w:t>
      </w:r>
      <w:r/>
    </w:p>
    <w:p>
      <w:pPr>
        <w:pStyle w:val="638"/>
        <w:contextualSpacing/>
        <w:ind w:firstLine="708"/>
        <w:jc w:val="both"/>
        <w:spacing w:after="0" w:line="240" w:lineRule="auto"/>
      </w:pPr>
      <w:r>
        <w:rPr>
          <w:rFonts w:ascii="Arial" w:hAnsi="Arial" w:cs="Arial"/>
          <w:color w:val="00000a"/>
        </w:rPr>
        <w:t xml:space="preserve">Место размещения уведомления в информационно-теле</w:t>
      </w:r>
      <w:r>
        <w:rPr>
          <w:rFonts w:ascii="Arial" w:hAnsi="Arial" w:cs="Arial"/>
          <w:color w:val="00000a"/>
        </w:rPr>
        <w:t xml:space="preserve">коммуникационной сети «Интернет» (полный электронный адр</w:t>
      </w:r>
      <w:r>
        <w:rPr>
          <w:rFonts w:ascii="Arial" w:hAnsi="Arial" w:cs="Arial"/>
          <w:color w:val="00000a"/>
        </w:rPr>
        <w:t xml:space="preserve">ес): </w:t>
      </w:r>
      <w:r>
        <w:fldChar w:fldCharType="begin"/>
      </w:r>
      <w:r>
        <w:instrText xml:space="preserve"> HYPERLINK  "https://orv45.ru/" </w:instrText>
      </w:r>
      <w:r>
        <w:fldChar w:fldCharType="separate"/>
      </w:r>
      <w:r>
        <w:rPr>
          <w:rFonts w:ascii="Arial" w:hAnsi="Arial"/>
        </w:rPr>
        <w:t xml:space="preserve">https://orv45.ru/</w:t>
      </w:r>
      <w:r>
        <w:fldChar w:fldCharType="end"/>
      </w:r>
      <w:r>
        <w:rPr>
          <w:rFonts w:ascii="Arial" w:hAnsi="Arial" w:cs="Arial"/>
          <w:color w:val="00000a"/>
        </w:rPr>
        <w:t xml:space="preserve">.</w:t>
      </w:r>
      <w:r/>
    </w:p>
    <w:p>
      <w:pPr>
        <w:pStyle w:val="638"/>
        <w:contextualSpacing/>
        <w:ind w:firstLine="708"/>
        <w:jc w:val="both"/>
        <w:spacing w:after="0" w:line="240" w:lineRule="auto"/>
      </w:pPr>
      <w:r>
        <w:rPr>
          <w:rFonts w:ascii="Arial" w:hAnsi="Arial" w:cs="Arial"/>
          <w:color w:val="00000a"/>
        </w:rPr>
        <w:t xml:space="preserve">Все поступившие предложения будут рассмотрены.  Сводка предложений будет размещена на портале ОРВ </w:t>
      </w:r>
      <w:r>
        <w:fldChar w:fldCharType="begin"/>
      </w:r>
      <w:r>
        <w:instrText xml:space="preserve"> HYPERLINK  "https://orv45.ru/" </w:instrText>
      </w:r>
      <w:r>
        <w:fldChar w:fldCharType="separate"/>
      </w:r>
      <w:r>
        <w:rPr>
          <w:rStyle w:val="687"/>
          <w:rFonts w:ascii="Arial" w:hAnsi="Arial" w:cs="Arial"/>
        </w:rPr>
        <w:t xml:space="preserve">https://orv45.ru/</w:t>
      </w:r>
      <w:r>
        <w:fldChar w:fldCharType="end"/>
      </w:r>
      <w:r>
        <w:rPr>
          <w:rFonts w:ascii="Arial" w:hAnsi="Arial" w:cs="Arial"/>
          <w:color w:val="00000a"/>
        </w:rPr>
        <w:t xml:space="preserve"> не позднее 07</w:t>
      </w:r>
      <w:r>
        <w:rPr>
          <w:rFonts w:ascii="Arial" w:hAnsi="Arial" w:cs="Arial"/>
          <w:color w:val="00000a"/>
        </w:rPr>
        <w:t xml:space="preserve"> </w:t>
      </w:r>
      <w:r>
        <w:rPr>
          <w:rFonts w:ascii="Arial" w:hAnsi="Arial" w:cs="Arial"/>
          <w:color w:val="00000a"/>
        </w:rPr>
        <w:t xml:space="preserve">октябр</w:t>
      </w:r>
      <w:r>
        <w:rPr>
          <w:rFonts w:ascii="Arial" w:hAnsi="Arial" w:cs="Arial"/>
          <w:color w:val="00000a"/>
        </w:rPr>
        <w:t xml:space="preserve">я</w:t>
      </w:r>
      <w:r>
        <w:rPr>
          <w:rFonts w:ascii="Arial" w:hAnsi="Arial" w:cs="Arial"/>
          <w:color w:val="00000a"/>
        </w:rPr>
        <w:t xml:space="preserve"> 2026 года.</w:t>
      </w:r>
      <w:r/>
    </w:p>
    <w:p>
      <w:pPr>
        <w:pStyle w:val="638"/>
        <w:contextualSpacing/>
        <w:ind w:firstLine="708"/>
        <w:jc w:val="both"/>
        <w:spacing w:after="0" w:line="240" w:lineRule="auto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 xml:space="preserve">Описание проблемы,</w:t>
      </w:r>
      <w:r>
        <w:rPr>
          <w:rFonts w:ascii="Arial" w:hAnsi="Arial" w:cs="Arial"/>
          <w:color w:val="00000a"/>
        </w:rPr>
        <w:t xml:space="preserve"> </w:t>
      </w:r>
      <w:r>
        <w:rPr>
          <w:rFonts w:ascii="Arial" w:hAnsi="Arial" w:cs="Arial"/>
          <w:color w:val="00000a"/>
        </w:rPr>
        <w:t xml:space="preserve">на решение которой направлено предлагаемое правовое регулирование:</w:t>
      </w:r>
      <w:r>
        <w:rPr>
          <w:rFonts w:ascii="Arial" w:hAnsi="Arial" w:cs="Arial"/>
          <w:color w:val="00000a"/>
        </w:rPr>
      </w:r>
      <w:r>
        <w:rPr>
          <w:rFonts w:ascii="Arial" w:hAnsi="Arial" w:cs="Arial"/>
          <w:color w:val="00000a"/>
        </w:rPr>
      </w:r>
    </w:p>
    <w:p>
      <w:pPr>
        <w:pStyle w:val="638"/>
        <w:contextualSpacing/>
        <w:ind w:firstLine="731"/>
        <w:jc w:val="both"/>
        <w:spacing w:after="0" w:line="240" w:lineRule="auto"/>
        <w:rPr>
          <w:rFonts w:ascii="Arial" w:hAnsi="Arial" w:eastAsia="Arial" w:cs="Arial"/>
          <w:szCs w:val="22"/>
        </w:rPr>
      </w:pPr>
      <w:r>
        <w:rPr>
          <w:rFonts w:ascii="Arial" w:hAnsi="Arial" w:eastAsia="Arial" w:cs="Arial"/>
          <w:szCs w:val="22"/>
        </w:rPr>
        <w:t xml:space="preserve">На основании </w:t>
      </w:r>
      <w:r>
        <w:rPr>
          <w:rFonts w:ascii="Arial" w:hAnsi="Arial" w:eastAsia="Arial" w:cs="Arial"/>
          <w:szCs w:val="22"/>
        </w:rPr>
        <w:t xml:space="preserve">Постановлени</w:t>
      </w:r>
      <w:r>
        <w:rPr>
          <w:rFonts w:ascii="Arial" w:hAnsi="Arial" w:eastAsia="Arial" w:cs="Arial"/>
          <w:szCs w:val="22"/>
        </w:rPr>
        <w:t xml:space="preserve">я</w:t>
      </w:r>
      <w:r>
        <w:rPr>
          <w:rFonts w:ascii="Arial" w:hAnsi="Arial" w:eastAsia="Arial" w:cs="Arial"/>
          <w:szCs w:val="22"/>
        </w:rPr>
        <w:t xml:space="preserve"> Администрации (Правительства) Курганской области от 20.05.2003</w:t>
      </w:r>
      <w:r>
        <w:rPr>
          <w:rFonts w:ascii="Arial" w:hAnsi="Arial" w:eastAsia="Arial" w:cs="Arial"/>
          <w:szCs w:val="22"/>
        </w:rPr>
        <w:t xml:space="preserve"> года №</w:t>
      </w:r>
      <w:r>
        <w:rPr>
          <w:rFonts w:ascii="Arial" w:hAnsi="Arial" w:eastAsia="Arial" w:cs="Arial"/>
          <w:szCs w:val="22"/>
        </w:rPr>
        <w:t xml:space="preserve"> 149 </w:t>
      </w:r>
      <w:r>
        <w:rPr>
          <w:rFonts w:ascii="Arial" w:hAnsi="Arial" w:eastAsia="Arial" w:cs="Arial"/>
          <w:szCs w:val="22"/>
        </w:rPr>
        <w:t xml:space="preserve">«</w:t>
      </w:r>
      <w:r>
        <w:rPr>
          <w:rFonts w:ascii="Arial" w:hAnsi="Arial" w:eastAsia="Arial" w:cs="Arial"/>
          <w:szCs w:val="22"/>
        </w:rPr>
        <w:t xml:space="preserve">О создании органа исполнительной власти Курганской области в области государственного регулирования </w:t>
      </w:r>
      <w:r>
        <w:rPr>
          <w:rFonts w:ascii="Arial" w:hAnsi="Arial" w:eastAsia="Arial" w:cs="Arial"/>
          <w:szCs w:val="22"/>
        </w:rPr>
        <w:t xml:space="preserve">цен и тарифов</w:t>
      </w:r>
      <w:r>
        <w:rPr>
          <w:rFonts w:ascii="Arial" w:hAnsi="Arial" w:eastAsia="Arial" w:cs="Arial"/>
          <w:szCs w:val="22"/>
        </w:rPr>
        <w:t xml:space="preserve">» </w:t>
      </w:r>
      <w:r>
        <w:rPr>
          <w:rFonts w:ascii="Arial" w:hAnsi="Arial" w:eastAsia="Arial" w:cs="Arial"/>
          <w:szCs w:val="22"/>
        </w:rPr>
        <w:t xml:space="preserve"> </w:t>
      </w:r>
      <w:r>
        <w:rPr>
          <w:rFonts w:ascii="Arial" w:hAnsi="Arial" w:eastAsia="Arial" w:cs="Arial"/>
          <w:szCs w:val="22"/>
        </w:rPr>
        <w:t xml:space="preserve">Департамент государственного регулирования цен и тарифов Курганской области является уполномоченным органом, осуществляющим региональный государственный контроль(надзор) в области регулирования тарифов в сфере</w:t>
      </w:r>
      <w:r>
        <w:rPr>
          <w:rFonts w:ascii="Arial" w:hAnsi="Arial" w:eastAsia="Arial" w:cs="Arial"/>
          <w:szCs w:val="22"/>
        </w:rPr>
        <w:t xml:space="preserve"> водоснабжения</w:t>
      </w:r>
      <w:r>
        <w:rPr>
          <w:rFonts w:ascii="Arial" w:hAnsi="Arial" w:eastAsia="Arial" w:cs="Arial"/>
          <w:szCs w:val="22"/>
        </w:rPr>
        <w:t xml:space="preserve"> и водоотведения</w:t>
      </w:r>
      <w:r>
        <w:rPr>
          <w:rFonts w:ascii="Arial" w:hAnsi="Arial" w:eastAsia="Arial" w:cs="Arial"/>
          <w:szCs w:val="22"/>
        </w:rPr>
        <w:t xml:space="preserve">,</w:t>
      </w:r>
      <w:r>
        <w:rPr>
          <w:rFonts w:ascii="Arial" w:hAnsi="Arial" w:cs="Arial"/>
          <w:color w:val="000000"/>
          <w:szCs w:val="22"/>
          <w:lang w:eastAsia="ru-RU" w:bidi="ar-SA"/>
        </w:rPr>
        <w:t xml:space="preserve"> </w:t>
      </w:r>
      <w:r>
        <w:rPr>
          <w:rFonts w:ascii="Arial" w:hAnsi="Arial" w:eastAsia="Arial" w:cs="Arial"/>
          <w:szCs w:val="22"/>
        </w:rPr>
        <w:t xml:space="preserve">осуществляет полномочия органа исполнительной власти Курганской области в сфере водоснабжения и водоотведения в соответствии с Федеральным </w:t>
      </w:r>
      <w:r>
        <w:rPr>
          <w:rFonts w:ascii="Arial" w:hAnsi="Arial" w:eastAsia="Arial" w:cs="Arial"/>
          <w:szCs w:val="22"/>
        </w:rPr>
        <w:fldChar w:fldCharType="begin"/>
      </w:r>
      <w:r>
        <w:rPr>
          <w:rFonts w:ascii="Arial" w:hAnsi="Arial" w:eastAsia="Arial" w:cs="Arial"/>
          <w:szCs w:val="22"/>
        </w:rPr>
        <w:instrText xml:space="preserve">HYPERLINK https://login.consultant.ru/link/?req=doc&amp;base=LAW&amp;n=52</w:instrText>
      </w:r>
      <w:r>
        <w:rPr>
          <w:rFonts w:ascii="Arial" w:hAnsi="Arial" w:eastAsia="Arial" w:cs="Arial"/>
          <w:szCs w:val="22"/>
        </w:rPr>
        <w:instrText xml:space="preserve">4705 </w:instrText>
      </w:r>
      <w:r>
        <w:rPr>
          <w:rFonts w:ascii="Arial" w:hAnsi="Arial" w:eastAsia="Arial" w:cs="Arial"/>
          <w:szCs w:val="22"/>
        </w:rPr>
        <w:fldChar w:fldCharType="separate"/>
      </w:r>
      <w:r>
        <w:rPr>
          <w:rStyle w:val="686"/>
          <w:rFonts w:ascii="Arial" w:hAnsi="Arial" w:eastAsia="Arial" w:cs="Arial"/>
          <w:szCs w:val="22"/>
          <w:u w:val="none"/>
        </w:rPr>
        <w:t xml:space="preserve">законом</w:t>
      </w:r>
      <w:r>
        <w:rPr>
          <w:rFonts w:ascii="Arial" w:hAnsi="Arial" w:eastAsia="Arial" w:cs="Arial"/>
          <w:szCs w:val="22"/>
        </w:rPr>
        <w:fldChar w:fldCharType="end"/>
      </w:r>
      <w:r>
        <w:rPr>
          <w:rFonts w:ascii="Arial" w:hAnsi="Arial" w:eastAsia="Arial" w:cs="Arial"/>
          <w:szCs w:val="22"/>
        </w:rPr>
        <w:t xml:space="preserve"> от 7 декабря 2011 года </w:t>
      </w:r>
      <w:r>
        <w:rPr>
          <w:rFonts w:ascii="Arial" w:hAnsi="Arial" w:eastAsia="Arial" w:cs="Arial"/>
          <w:szCs w:val="22"/>
        </w:rPr>
        <w:t xml:space="preserve">№</w:t>
      </w:r>
      <w:r>
        <w:rPr>
          <w:rFonts w:ascii="Arial" w:hAnsi="Arial" w:eastAsia="Arial" w:cs="Arial"/>
          <w:szCs w:val="22"/>
        </w:rPr>
        <w:t xml:space="preserve"> 416-ФЗ </w:t>
      </w:r>
      <w:r>
        <w:rPr>
          <w:rFonts w:ascii="Arial" w:hAnsi="Arial" w:eastAsia="Arial" w:cs="Arial"/>
          <w:szCs w:val="22"/>
        </w:rPr>
        <w:t xml:space="preserve">«</w:t>
      </w:r>
      <w:r>
        <w:rPr>
          <w:rFonts w:ascii="Arial" w:hAnsi="Arial" w:eastAsia="Arial" w:cs="Arial"/>
          <w:szCs w:val="22"/>
        </w:rPr>
        <w:t xml:space="preserve">О водоснабжении и водоотведении</w:t>
      </w:r>
      <w:r>
        <w:rPr>
          <w:rFonts w:ascii="Arial" w:hAnsi="Arial" w:eastAsia="Arial" w:cs="Arial"/>
          <w:szCs w:val="22"/>
        </w:rPr>
        <w:t xml:space="preserve">»</w:t>
      </w:r>
      <w:r>
        <w:rPr>
          <w:rFonts w:ascii="Arial" w:hAnsi="Arial" w:eastAsia="Arial" w:cs="Arial"/>
          <w:szCs w:val="22"/>
        </w:rPr>
        <w:t xml:space="preserve">. </w:t>
      </w:r>
      <w:r>
        <w:rPr>
          <w:rFonts w:ascii="Arial" w:hAnsi="Arial" w:eastAsia="Arial" w:cs="Arial"/>
          <w:szCs w:val="22"/>
        </w:rPr>
      </w:r>
      <w:r>
        <w:rPr>
          <w:rFonts w:ascii="Arial" w:hAnsi="Arial" w:eastAsia="Arial" w:cs="Arial"/>
          <w:szCs w:val="22"/>
        </w:rPr>
      </w:r>
    </w:p>
    <w:p>
      <w:pPr>
        <w:pStyle w:val="638"/>
        <w:contextualSpacing/>
        <w:ind w:firstLine="731"/>
        <w:jc w:val="both"/>
        <w:spacing w:after="0" w:line="240" w:lineRule="auto"/>
        <w:rPr>
          <w:rFonts w:ascii="Arial" w:hAnsi="Arial" w:eastAsia="Arial" w:cs="Arial"/>
          <w:szCs w:val="22"/>
        </w:rPr>
      </w:pPr>
      <w:r>
        <w:rPr>
          <w:rFonts w:ascii="Arial" w:hAnsi="Arial" w:eastAsia="Arial" w:cs="Arial"/>
          <w:szCs w:val="22"/>
        </w:rPr>
        <w:t xml:space="preserve">В соответствии с требованиями </w:t>
      </w:r>
      <w:r>
        <w:rPr>
          <w:rFonts w:ascii="Arial" w:hAnsi="Arial" w:eastAsia="Arial" w:cs="Arial"/>
          <w:szCs w:val="22"/>
        </w:rPr>
        <w:t xml:space="preserve">Ф</w:t>
      </w:r>
      <w:r>
        <w:rPr>
          <w:rFonts w:ascii="Arial" w:hAnsi="Arial" w:eastAsia="Arial" w:cs="Arial"/>
          <w:szCs w:val="22"/>
        </w:rPr>
        <w:t xml:space="preserve">едеральн</w:t>
      </w:r>
      <w:r>
        <w:rPr>
          <w:rFonts w:ascii="Arial" w:hAnsi="Arial" w:eastAsia="Arial" w:cs="Arial"/>
          <w:szCs w:val="22"/>
        </w:rPr>
        <w:t xml:space="preserve">ого</w:t>
      </w:r>
      <w:r>
        <w:rPr>
          <w:rFonts w:ascii="Arial" w:hAnsi="Arial" w:eastAsia="Arial" w:cs="Arial"/>
          <w:szCs w:val="22"/>
        </w:rPr>
        <w:t xml:space="preserve"> закон</w:t>
      </w:r>
      <w:r>
        <w:rPr>
          <w:rFonts w:ascii="Arial" w:hAnsi="Arial" w:eastAsia="Arial" w:cs="Arial"/>
          <w:szCs w:val="22"/>
        </w:rPr>
        <w:t xml:space="preserve">а</w:t>
      </w:r>
      <w:r>
        <w:rPr>
          <w:rFonts w:ascii="Arial" w:hAnsi="Arial" w:eastAsia="Arial" w:cs="Arial"/>
          <w:szCs w:val="22"/>
        </w:rPr>
        <w:t xml:space="preserve"> от </w:t>
      </w:r>
      <w:r>
        <w:rPr>
          <w:rFonts w:ascii="Arial" w:hAnsi="Arial" w:eastAsia="Arial" w:cs="Arial"/>
          <w:szCs w:val="22"/>
        </w:rPr>
        <w:t xml:space="preserve">07</w:t>
      </w:r>
      <w:r>
        <w:rPr>
          <w:rFonts w:ascii="Arial" w:hAnsi="Arial" w:eastAsia="Arial" w:cs="Arial"/>
          <w:szCs w:val="22"/>
        </w:rPr>
        <w:t xml:space="preserve"> декабря </w:t>
      </w:r>
      <w:r>
        <w:rPr>
          <w:rFonts w:ascii="Arial" w:hAnsi="Arial" w:eastAsia="Arial" w:cs="Arial"/>
          <w:szCs w:val="22"/>
        </w:rPr>
        <w:t xml:space="preserve">2011</w:t>
      </w:r>
      <w:r>
        <w:rPr>
          <w:rFonts w:ascii="Arial" w:hAnsi="Arial" w:eastAsia="Arial" w:cs="Arial"/>
          <w:szCs w:val="22"/>
        </w:rPr>
        <w:t xml:space="preserve"> года </w:t>
      </w:r>
      <w:r>
        <w:rPr>
          <w:rFonts w:ascii="Arial" w:hAnsi="Arial" w:eastAsia="Arial" w:cs="Arial"/>
          <w:szCs w:val="22"/>
        </w:rPr>
        <w:br w:type="textWrapping" w:clear="all"/>
      </w:r>
      <w:r>
        <w:rPr>
          <w:rFonts w:ascii="Arial" w:hAnsi="Arial" w:eastAsia="Arial" w:cs="Arial"/>
          <w:szCs w:val="22"/>
        </w:rPr>
        <w:t xml:space="preserve">№</w:t>
      </w:r>
      <w:r>
        <w:rPr>
          <w:rFonts w:ascii="Arial" w:hAnsi="Arial" w:eastAsia="Arial" w:cs="Arial"/>
          <w:szCs w:val="22"/>
        </w:rPr>
        <w:t xml:space="preserve"> 416-ФЗ </w:t>
      </w:r>
      <w:r>
        <w:rPr>
          <w:rFonts w:ascii="Arial" w:hAnsi="Arial" w:eastAsia="Arial" w:cs="Arial"/>
          <w:szCs w:val="22"/>
        </w:rPr>
        <w:t xml:space="preserve">«</w:t>
      </w:r>
      <w:r>
        <w:rPr>
          <w:rFonts w:ascii="Arial" w:hAnsi="Arial" w:eastAsia="Arial" w:cs="Arial"/>
          <w:szCs w:val="22"/>
        </w:rPr>
        <w:t xml:space="preserve">О водоснабжении и водоотведении</w:t>
      </w:r>
      <w:r>
        <w:rPr>
          <w:rFonts w:ascii="Arial" w:hAnsi="Arial" w:eastAsia="Arial" w:cs="Arial"/>
          <w:szCs w:val="22"/>
        </w:rPr>
        <w:t xml:space="preserve">»</w:t>
      </w:r>
      <w:r>
        <w:rPr>
          <w:rFonts w:ascii="Arial" w:hAnsi="Arial" w:eastAsia="Arial" w:cs="Arial"/>
          <w:szCs w:val="22"/>
        </w:rPr>
        <w:t xml:space="preserve"> </w:t>
      </w:r>
      <w:r>
        <w:rPr>
          <w:rFonts w:ascii="Arial" w:hAnsi="Arial" w:eastAsia="Arial" w:cs="Arial"/>
          <w:szCs w:val="22"/>
        </w:rPr>
        <w:t xml:space="preserve">и</w:t>
      </w:r>
      <w:r>
        <w:rPr>
          <w:rFonts w:ascii="Arial" w:hAnsi="Arial" w:eastAsia="Arial" w:cs="Arial"/>
          <w:szCs w:val="22"/>
        </w:rPr>
        <w:t xml:space="preserve"> </w:t>
      </w:r>
      <w:r>
        <w:rPr>
          <w:rFonts w:ascii="Arial" w:hAnsi="Arial" w:cs="Arial"/>
          <w:bCs/>
          <w:szCs w:val="22"/>
        </w:rPr>
        <w:t xml:space="preserve">в</w:t>
      </w:r>
      <w:r>
        <w:rPr>
          <w:rFonts w:ascii="Arial" w:hAnsi="Arial" w:cs="Arial"/>
          <w:bCs/>
          <w:szCs w:val="22"/>
        </w:rPr>
        <w:t xml:space="preserve"> соответствии с </w:t>
      </w:r>
      <w:r>
        <w:rPr>
          <w:rFonts w:ascii="Arial" w:hAnsi="Arial" w:cs="Arial"/>
          <w:bCs/>
          <w:szCs w:val="22"/>
        </w:rPr>
        <w:t xml:space="preserve">положениями постановления Правительства Российской Федерации от 29 июл</w:t>
      </w:r>
      <w:r>
        <w:rPr>
          <w:rFonts w:ascii="Arial" w:hAnsi="Arial" w:cs="Arial"/>
          <w:bCs/>
          <w:szCs w:val="22"/>
        </w:rPr>
        <w:t xml:space="preserve">я 2013 года № 641 (ред. от 30.05.2026</w:t>
      </w:r>
      <w:r>
        <w:rPr>
          <w:rFonts w:ascii="Arial" w:hAnsi="Arial" w:cs="Arial"/>
          <w:bCs/>
          <w:szCs w:val="22"/>
        </w:rPr>
        <w:t xml:space="preserve"> г.</w:t>
      </w:r>
      <w:r>
        <w:rPr>
          <w:rFonts w:ascii="Arial" w:hAnsi="Arial" w:cs="Arial"/>
          <w:bCs/>
          <w:szCs w:val="22"/>
        </w:rPr>
        <w:t xml:space="preserve">) «Об</w:t>
      </w:r>
      <w:r>
        <w:rPr>
          <w:rFonts w:ascii="Arial" w:hAnsi="Arial" w:cs="Arial"/>
          <w:bCs/>
          <w:szCs w:val="22"/>
        </w:rPr>
        <w:t xml:space="preserve"> </w:t>
      </w:r>
      <w:r>
        <w:rPr>
          <w:rFonts w:ascii="Arial" w:hAnsi="Arial" w:cs="Arial"/>
          <w:bCs/>
          <w:szCs w:val="22"/>
        </w:rPr>
        <w:t xml:space="preserve">инвестиционных и производственных программах организаций, осуществляющих деятельность в сфере </w:t>
      </w:r>
      <w:r>
        <w:rPr>
          <w:rFonts w:ascii="Arial" w:hAnsi="Arial" w:cs="Arial"/>
          <w:bCs/>
          <w:szCs w:val="22"/>
        </w:rPr>
        <w:t xml:space="preserve">водоснабжения и водоотведения» (вместе с «Правилами разработки, утверждения и корректировки производственных программ организаций, осуществляющих горячее водоснабжение, холодное водоснабжение и (или) водоотведение, осуществления контроля за их выполнением </w:t>
      </w:r>
      <w:r>
        <w:rPr>
          <w:rFonts w:ascii="Arial" w:hAnsi="Arial" w:cs="Arial"/>
          <w:bCs/>
          <w:szCs w:val="22"/>
        </w:rPr>
        <w:t xml:space="preserve">и требованиями к содержанию та</w:t>
      </w:r>
      <w:r>
        <w:rPr>
          <w:rFonts w:ascii="Arial" w:hAnsi="Arial" w:cs="Arial"/>
          <w:bCs/>
          <w:szCs w:val="22"/>
        </w:rPr>
        <w:t xml:space="preserve">ких производственных программ»)</w:t>
      </w:r>
      <w:r>
        <w:rPr>
          <w:rFonts w:ascii="Arial" w:hAnsi="Arial" w:eastAsia="Arial" w:cs="Arial"/>
          <w:szCs w:val="22"/>
        </w:rPr>
        <w:t xml:space="preserve"> </w:t>
      </w:r>
      <w:r>
        <w:rPr>
          <w:rFonts w:ascii="Arial" w:hAnsi="Arial" w:eastAsia="Arial" w:cs="Arial"/>
          <w:szCs w:val="22"/>
        </w:rPr>
        <w:t xml:space="preserve">п</w:t>
      </w:r>
      <w:r>
        <w:rPr>
          <w:rFonts w:ascii="Arial" w:hAnsi="Arial" w:eastAsia="Arial" w:cs="Arial"/>
          <w:szCs w:val="22"/>
        </w:rPr>
        <w:t xml:space="preserve">римерная форма производственной прог</w:t>
      </w:r>
      <w:r>
        <w:rPr>
          <w:rFonts w:ascii="Arial" w:hAnsi="Arial" w:eastAsia="Arial" w:cs="Arial"/>
          <w:szCs w:val="22"/>
        </w:rPr>
        <w:t xml:space="preserve">раммы</w:t>
      </w:r>
      <w:r>
        <w:rPr>
          <w:rFonts w:ascii="Times New Roman" w:hAnsi="Times New Roman" w:cs="Tahoma"/>
          <w:sz w:val="24"/>
        </w:rPr>
        <w:t xml:space="preserve"> </w:t>
      </w:r>
      <w:r>
        <w:rPr>
          <w:rFonts w:ascii="Arial" w:hAnsi="Arial" w:eastAsia="Arial" w:cs="Arial"/>
          <w:szCs w:val="22"/>
        </w:rPr>
        <w:t xml:space="preserve">организаций, осуществляющих горячее водоснабжение, холодное водоснабжение и (или) водоотведение</w:t>
      </w:r>
      <w:r>
        <w:rPr>
          <w:rFonts w:ascii="Arial" w:hAnsi="Arial" w:eastAsia="Arial" w:cs="Arial"/>
          <w:szCs w:val="22"/>
        </w:rPr>
        <w:t xml:space="preserve">,</w:t>
      </w:r>
      <w:r>
        <w:rPr>
          <w:rFonts w:ascii="Arial" w:hAnsi="Arial" w:eastAsia="Arial" w:cs="Arial"/>
          <w:szCs w:val="22"/>
        </w:rPr>
        <w:t xml:space="preserve"> утверждается уполномоченным исполнительным органом субъекта Российской Федерации в области государственного регулирования тарифов</w:t>
      </w:r>
      <w:r>
        <w:rPr>
          <w:rFonts w:ascii="Arial" w:hAnsi="Arial" w:eastAsia="Arial" w:cs="Arial"/>
          <w:szCs w:val="22"/>
        </w:rPr>
        <w:t xml:space="preserve">, осуществля</w:t>
      </w:r>
      <w:r>
        <w:rPr>
          <w:rFonts w:ascii="Arial" w:hAnsi="Arial" w:eastAsia="Arial" w:cs="Arial"/>
          <w:szCs w:val="22"/>
        </w:rPr>
        <w:t xml:space="preserve">ющим регулирование тарифов в сфере водоснабжения и водоотведения </w:t>
      </w:r>
      <w:r>
        <w:rPr>
          <w:rFonts w:ascii="Arial" w:hAnsi="Arial" w:eastAsia="Arial" w:cs="Arial"/>
          <w:szCs w:val="22"/>
        </w:rPr>
      </w:r>
      <w:r>
        <w:rPr>
          <w:rFonts w:ascii="Arial" w:hAnsi="Arial" w:eastAsia="Arial" w:cs="Arial"/>
          <w:szCs w:val="22"/>
        </w:rPr>
      </w:r>
    </w:p>
    <w:p>
      <w:pPr>
        <w:pStyle w:val="638"/>
        <w:contextualSpacing/>
        <w:ind w:firstLine="732"/>
        <w:jc w:val="both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eastAsia="Arial" w:cs="Arial"/>
          <w:szCs w:val="22"/>
        </w:rPr>
        <w:t xml:space="preserve">В</w:t>
      </w:r>
      <w:r>
        <w:rPr>
          <w:rFonts w:ascii="Arial" w:hAnsi="Arial" w:eastAsia="Arial" w:cs="Arial"/>
          <w:szCs w:val="22"/>
        </w:rPr>
        <w:t xml:space="preserve">озникла необходимость </w:t>
      </w:r>
      <w:r>
        <w:rPr>
          <w:rFonts w:ascii="Arial" w:hAnsi="Arial" w:eastAsia="Arial" w:cs="Arial"/>
          <w:szCs w:val="22"/>
        </w:rPr>
        <w:t xml:space="preserve">утверждения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примерных </w:t>
      </w:r>
      <w:r>
        <w:rPr>
          <w:rFonts w:ascii="Arial" w:hAnsi="Arial" w:cs="Arial"/>
          <w:bCs/>
        </w:rPr>
        <w:t xml:space="preserve">форм </w:t>
      </w:r>
      <w:r>
        <w:rPr>
          <w:rFonts w:ascii="Arial" w:hAnsi="Arial" w:cs="Arial"/>
          <w:bCs/>
        </w:rPr>
        <w:t xml:space="preserve">производственных программ</w:t>
      </w:r>
      <w:r>
        <w:rPr>
          <w:rFonts w:ascii="Arial" w:hAnsi="Arial" w:cs="Arial"/>
          <w:color w:val="000000"/>
          <w:szCs w:val="22"/>
          <w:lang w:eastAsia="ru-RU" w:bidi="ar-SA"/>
        </w:rPr>
        <w:t xml:space="preserve"> </w:t>
      </w:r>
      <w:r>
        <w:rPr>
          <w:rFonts w:ascii="Arial" w:hAnsi="Arial" w:cs="Arial"/>
          <w:bCs/>
        </w:rPr>
        <w:t xml:space="preserve">организаций, осуществляющих горячее водоснабжение, холодное водоснабжение и (или) водоотведение</w:t>
      </w:r>
      <w:r>
        <w:rPr>
          <w:rFonts w:ascii="Arial" w:hAnsi="Arial" w:cs="Arial"/>
          <w:bCs/>
        </w:rPr>
        <w:t xml:space="preserve">,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eastAsia="Arial" w:cs="Arial"/>
          <w:szCs w:val="22"/>
        </w:rPr>
        <w:t xml:space="preserve">в соответствие с дейст</w:t>
      </w:r>
      <w:r>
        <w:rPr>
          <w:rFonts w:ascii="Arial" w:hAnsi="Arial" w:eastAsia="Arial" w:cs="Arial"/>
          <w:szCs w:val="22"/>
        </w:rPr>
        <w:t xml:space="preserve">вующим законодательством.</w: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</w:r>
    </w:p>
    <w:p>
      <w:pPr>
        <w:pStyle w:val="638"/>
        <w:contextualSpacing/>
        <w:ind w:firstLine="690"/>
        <w:jc w:val="both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color w:val="00000a"/>
          <w:shd w:val="clear" w:color="auto" w:fill="ffffff"/>
        </w:rPr>
        <w:t xml:space="preserve">2. </w:t>
      </w:r>
      <w:r>
        <w:rPr>
          <w:rFonts w:ascii="Arial" w:hAnsi="Arial" w:cs="Arial"/>
          <w:color w:val="00000a"/>
          <w:szCs w:val="22"/>
        </w:rPr>
        <w:t xml:space="preserve">Цели предлагаемого правового регулирования: </w:t>
      </w:r>
      <w:r>
        <w:rPr>
          <w:rFonts w:ascii="Arial" w:hAnsi="Arial" w:eastAsia="Arial" w:cs="Arial"/>
          <w:szCs w:val="22"/>
        </w:rPr>
        <w:t xml:space="preserve">утверждение </w:t>
      </w:r>
      <w:r>
        <w:rPr>
          <w:rFonts w:ascii="Arial" w:hAnsi="Arial" w:eastAsia="Arial" w:cs="Arial"/>
          <w:szCs w:val="22"/>
        </w:rPr>
        <w:t xml:space="preserve">примерных </w:t>
      </w:r>
      <w:r>
        <w:rPr>
          <w:rFonts w:ascii="Arial" w:hAnsi="Arial" w:cs="Arial"/>
          <w:bCs/>
        </w:rPr>
        <w:t xml:space="preserve">форм 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п</w:t>
      </w:r>
      <w:r>
        <w:rPr>
          <w:rFonts w:ascii="Arial" w:hAnsi="Arial" w:cs="Arial"/>
          <w:bCs/>
        </w:rPr>
        <w:t xml:space="preserve">роизводственных программ </w:t>
      </w:r>
      <w:r>
        <w:rPr>
          <w:rFonts w:ascii="Arial" w:hAnsi="Arial" w:cs="Arial"/>
          <w:bCs/>
        </w:rPr>
        <w:t xml:space="preserve">организаций, осуществляющих горячее водоснабжение, холодное водоснабжение и (или) водоотведение</w:t>
      </w:r>
      <w:r>
        <w:rPr>
          <w:rFonts w:ascii="Arial" w:hAnsi="Arial" w:cs="Arial"/>
          <w:bCs/>
        </w:rPr>
        <w:t xml:space="preserve">.</w: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</w:r>
    </w:p>
    <w:p>
      <w:pPr>
        <w:pStyle w:val="638"/>
        <w:contextualSpacing/>
        <w:ind w:firstLine="692"/>
        <w:jc w:val="both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color w:val="00000a"/>
          <w:szCs w:val="22"/>
        </w:rPr>
        <w:t xml:space="preserve">3. Ожидаемый результат (выраженный установ</w:t>
      </w:r>
      <w:r>
        <w:rPr>
          <w:rFonts w:ascii="Arial" w:hAnsi="Arial" w:cs="Arial"/>
          <w:color w:val="00000a"/>
          <w:szCs w:val="22"/>
        </w:rPr>
        <w:t xml:space="preserve">ленными разработчиком показателями) </w:t>
      </w:r>
      <w:r>
        <w:rPr>
          <w:rFonts w:ascii="Arial" w:hAnsi="Arial" w:cs="Arial"/>
          <w:color w:val="00000a"/>
          <w:szCs w:val="22"/>
        </w:rPr>
        <w:t xml:space="preserve">реализация полномочий Департамента государственного регулирования цен и тарифов Курганской области по утверждению </w:t>
      </w:r>
      <w:r>
        <w:rPr>
          <w:rFonts w:ascii="Arial" w:hAnsi="Arial" w:cs="Arial"/>
          <w:bCs/>
        </w:rPr>
        <w:t xml:space="preserve">форм </w:t>
      </w:r>
      <w:r>
        <w:rPr>
          <w:rFonts w:ascii="Arial" w:hAnsi="Arial" w:cs="Arial"/>
          <w:bCs/>
        </w:rPr>
        <w:t xml:space="preserve">производственных программ </w:t>
      </w:r>
      <w:r>
        <w:rPr>
          <w:rFonts w:ascii="Arial" w:hAnsi="Arial" w:cs="Arial"/>
          <w:bCs/>
        </w:rPr>
        <w:t xml:space="preserve">организаций, осуществляющих горячее водоснабжение, холодное водоснабжение и (или) водоотведение</w:t>
      </w:r>
      <w:r>
        <w:rPr>
          <w:rFonts w:ascii="Arial" w:hAnsi="Arial" w:cs="Arial"/>
          <w:bCs/>
        </w:rPr>
        <w:t xml:space="preserve">.</w: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</w:r>
    </w:p>
    <w:p>
      <w:pPr>
        <w:pStyle w:val="638"/>
        <w:contextualSpacing/>
        <w:ind w:firstLine="708"/>
        <w:jc w:val="both"/>
        <w:spacing w:after="0" w:line="240" w:lineRule="auto"/>
      </w:pPr>
      <w:r>
        <w:rPr>
          <w:rFonts w:ascii="Arial" w:hAnsi="Arial" w:cs="Arial"/>
          <w:color w:val="00000a"/>
          <w:szCs w:val="22"/>
        </w:rPr>
        <w:t xml:space="preserve">4. Срок достижения ожидаемого результата</w:t>
      </w:r>
      <w:r>
        <w:rPr>
          <w:rFonts w:ascii="Arial" w:hAnsi="Arial" w:cs="Arial"/>
          <w:color w:val="00000a"/>
        </w:rPr>
        <w:t xml:space="preserve"> предлагаемого регулирования </w:t>
      </w:r>
      <w:r>
        <w:rPr>
          <w:rFonts w:ascii="Arial" w:hAnsi="Arial" w:cs="Arial"/>
          <w:color w:val="00000a"/>
        </w:rPr>
        <w:t xml:space="preserve">октябрь</w:t>
      </w:r>
      <w:r>
        <w:rPr>
          <w:rFonts w:ascii="Arial" w:hAnsi="Arial" w:cs="Arial"/>
          <w:color w:val="00000a"/>
        </w:rPr>
        <w:t xml:space="preserve"> </w:t>
      </w:r>
      <w:r>
        <w:rPr>
          <w:rFonts w:ascii="Arial" w:hAnsi="Arial" w:cs="Arial"/>
          <w:color w:val="00000a"/>
        </w:rPr>
        <w:t xml:space="preserve">2026 года.</w:t>
      </w:r>
      <w:r/>
    </w:p>
    <w:p>
      <w:pPr>
        <w:pStyle w:val="638"/>
        <w:contextualSpacing/>
        <w:ind w:firstLine="708"/>
        <w:jc w:val="both"/>
        <w:spacing w:after="0" w:line="240" w:lineRule="auto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 xml:space="preserve">5.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области:</w:t>
      </w:r>
      <w:r>
        <w:rPr>
          <w:rFonts w:ascii="Arial" w:hAnsi="Arial" w:cs="Arial"/>
          <w:color w:val="00000a"/>
        </w:rPr>
      </w:r>
      <w:r>
        <w:rPr>
          <w:rFonts w:ascii="Arial" w:hAnsi="Arial" w:cs="Arial"/>
          <w:color w:val="00000a"/>
        </w:rPr>
      </w:r>
    </w:p>
    <w:p>
      <w:pPr>
        <w:pStyle w:val="638"/>
        <w:contextualSpacing/>
        <w:jc w:val="both"/>
        <w:spacing w:after="0" w:line="240" w:lineRule="auto"/>
        <w:rPr>
          <w:rFonts w:ascii="Arial" w:hAnsi="Arial" w:eastAsia="Arial" w:cs="Arial"/>
          <w:szCs w:val="22"/>
        </w:rPr>
      </w:pPr>
      <w:r>
        <w:rPr>
          <w:rFonts w:ascii="Arial" w:hAnsi="Arial" w:cs="Arial"/>
          <w:color w:val="00000a"/>
        </w:rPr>
        <w:t xml:space="preserve">            </w:t>
      </w:r>
      <w:r>
        <w:rPr>
          <w:rFonts w:ascii="Arial" w:hAnsi="Arial" w:cs="Arial"/>
          <w:color w:val="00000a"/>
        </w:rPr>
        <w:t xml:space="preserve">- </w:t>
      </w:r>
      <w:r>
        <w:rPr>
          <w:rFonts w:ascii="Arial" w:hAnsi="Arial" w:eastAsia="Arial" w:cs="Arial"/>
          <w:szCs w:val="22"/>
        </w:rPr>
        <w:t xml:space="preserve">Федеральн</w:t>
      </w:r>
      <w:r>
        <w:rPr>
          <w:rFonts w:ascii="Arial" w:hAnsi="Arial" w:eastAsia="Arial" w:cs="Arial"/>
          <w:szCs w:val="22"/>
        </w:rPr>
        <w:t xml:space="preserve">ый</w:t>
      </w:r>
      <w:r>
        <w:rPr>
          <w:rFonts w:ascii="Arial" w:hAnsi="Arial" w:eastAsia="Arial" w:cs="Arial"/>
          <w:szCs w:val="22"/>
        </w:rPr>
        <w:t xml:space="preserve"> закон </w:t>
      </w:r>
      <w:r>
        <w:rPr>
          <w:rFonts w:ascii="Arial" w:hAnsi="Arial" w:eastAsia="Arial" w:cs="Arial"/>
          <w:szCs w:val="22"/>
        </w:rPr>
        <w:t xml:space="preserve">о</w:t>
      </w:r>
      <w:r>
        <w:rPr>
          <w:rFonts w:ascii="Arial" w:hAnsi="Arial" w:eastAsia="Arial" w:cs="Arial"/>
          <w:szCs w:val="22"/>
        </w:rPr>
        <w:t xml:space="preserve">т </w:t>
      </w:r>
      <w:r>
        <w:rPr>
          <w:rFonts w:ascii="Arial" w:hAnsi="Arial" w:eastAsia="Arial" w:cs="Arial"/>
          <w:szCs w:val="22"/>
        </w:rPr>
        <w:t xml:space="preserve">07</w:t>
      </w:r>
      <w:r>
        <w:rPr>
          <w:rFonts w:ascii="Arial" w:hAnsi="Arial" w:eastAsia="Arial" w:cs="Arial"/>
          <w:szCs w:val="22"/>
        </w:rPr>
        <w:t xml:space="preserve"> декабря </w:t>
      </w:r>
      <w:r>
        <w:rPr>
          <w:rFonts w:ascii="Arial" w:hAnsi="Arial" w:eastAsia="Arial" w:cs="Arial"/>
          <w:szCs w:val="22"/>
        </w:rPr>
        <w:t xml:space="preserve">2011</w:t>
      </w:r>
      <w:r>
        <w:rPr>
          <w:rFonts w:ascii="Arial" w:hAnsi="Arial" w:eastAsia="Arial" w:cs="Arial"/>
          <w:szCs w:val="22"/>
        </w:rPr>
        <w:t xml:space="preserve"> года </w:t>
      </w:r>
      <w:r>
        <w:rPr>
          <w:rFonts w:ascii="Arial" w:hAnsi="Arial" w:eastAsia="Arial" w:cs="Arial"/>
          <w:szCs w:val="22"/>
        </w:rPr>
        <w:t xml:space="preserve">№</w:t>
      </w:r>
      <w:r>
        <w:rPr>
          <w:rFonts w:ascii="Arial" w:hAnsi="Arial" w:eastAsia="Arial" w:cs="Arial"/>
          <w:szCs w:val="22"/>
        </w:rPr>
        <w:t xml:space="preserve"> 416-ФЗ </w:t>
      </w:r>
      <w:r>
        <w:rPr>
          <w:rFonts w:ascii="Arial" w:hAnsi="Arial" w:eastAsia="Arial" w:cs="Arial"/>
          <w:szCs w:val="22"/>
        </w:rPr>
        <w:t xml:space="preserve">«</w:t>
      </w:r>
      <w:r>
        <w:rPr>
          <w:rFonts w:ascii="Arial" w:hAnsi="Arial" w:eastAsia="Arial" w:cs="Arial"/>
          <w:szCs w:val="22"/>
        </w:rPr>
        <w:t xml:space="preserve">О водоснабжении и водоотведении</w:t>
      </w:r>
      <w:r>
        <w:rPr>
          <w:rFonts w:ascii="Arial" w:hAnsi="Arial" w:eastAsia="Arial" w:cs="Arial"/>
          <w:szCs w:val="22"/>
        </w:rPr>
        <w:t xml:space="preserve">»</w:t>
      </w:r>
      <w:r>
        <w:rPr>
          <w:rFonts w:ascii="Arial" w:hAnsi="Arial" w:eastAsia="Arial" w:cs="Arial"/>
          <w:szCs w:val="22"/>
        </w:rPr>
        <w:t xml:space="preserve">;</w:t>
      </w:r>
      <w:r>
        <w:rPr>
          <w:rFonts w:ascii="Arial" w:hAnsi="Arial" w:eastAsia="Arial" w:cs="Arial"/>
          <w:szCs w:val="22"/>
        </w:rPr>
      </w:r>
      <w:r>
        <w:rPr>
          <w:rFonts w:ascii="Arial" w:hAnsi="Arial" w:eastAsia="Arial" w:cs="Arial"/>
          <w:szCs w:val="22"/>
        </w:rPr>
      </w:r>
    </w:p>
    <w:p>
      <w:pPr>
        <w:pStyle w:val="638"/>
        <w:contextualSpacing/>
        <w:ind w:firstLine="709"/>
        <w:jc w:val="both"/>
        <w:spacing w:after="0" w:line="240" w:lineRule="auto"/>
      </w:pPr>
      <w:r>
        <w:rPr>
          <w:rFonts w:ascii="Arial" w:hAnsi="Arial" w:eastAsia="Arial" w:cs="Arial"/>
          <w:color w:val="00000a"/>
          <w:szCs w:val="22"/>
        </w:rPr>
        <w:t xml:space="preserve">- </w:t>
      </w:r>
      <w:r>
        <w:rPr>
          <w:rFonts w:ascii="Arial" w:hAnsi="Arial" w:eastAsia="Arial" w:cs="Arial"/>
          <w:szCs w:val="22"/>
        </w:rPr>
        <w:t xml:space="preserve">Постановлени</w:t>
      </w:r>
      <w:r>
        <w:rPr>
          <w:rFonts w:ascii="Arial" w:hAnsi="Arial" w:eastAsia="Arial" w:cs="Arial"/>
          <w:szCs w:val="22"/>
        </w:rPr>
        <w:t xml:space="preserve">е</w:t>
      </w:r>
      <w:r>
        <w:rPr>
          <w:rFonts w:ascii="Arial" w:hAnsi="Arial" w:eastAsia="Arial" w:cs="Arial"/>
          <w:szCs w:val="22"/>
        </w:rPr>
        <w:t xml:space="preserve"> Правительства РФ </w:t>
      </w:r>
      <w:r>
        <w:rPr>
          <w:rFonts w:ascii="Arial" w:hAnsi="Arial" w:cs="Arial"/>
          <w:bCs/>
          <w:szCs w:val="22"/>
        </w:rPr>
        <w:t xml:space="preserve">от 29 июля 2013 года № 641 (ред. от 30.05.2026</w:t>
      </w:r>
      <w:r>
        <w:rPr>
          <w:rFonts w:ascii="Arial" w:hAnsi="Arial" w:cs="Arial"/>
          <w:bCs/>
          <w:szCs w:val="22"/>
        </w:rPr>
        <w:t xml:space="preserve"> г.</w:t>
      </w:r>
      <w:r>
        <w:rPr>
          <w:rFonts w:ascii="Arial" w:hAnsi="Arial" w:cs="Arial"/>
          <w:bCs/>
          <w:szCs w:val="22"/>
        </w:rPr>
        <w:t xml:space="preserve">) «Об</w:t>
      </w:r>
      <w:r>
        <w:rPr>
          <w:rFonts w:ascii="Arial" w:hAnsi="Arial" w:cs="Arial"/>
          <w:bCs/>
          <w:szCs w:val="22"/>
        </w:rPr>
        <w:t xml:space="preserve"> </w:t>
      </w:r>
      <w:r>
        <w:rPr>
          <w:rFonts w:ascii="Arial" w:hAnsi="Arial" w:cs="Arial"/>
          <w:bCs/>
          <w:szCs w:val="22"/>
        </w:rPr>
        <w:t xml:space="preserve">инвестиционных и производственных программах организаций, осуществляющих деятельность в сфере водоснабжения и водоотведения» (вместе с «Правилами разработк</w:t>
      </w:r>
      <w:r>
        <w:rPr>
          <w:rFonts w:ascii="Arial" w:hAnsi="Arial" w:cs="Arial"/>
          <w:bCs/>
          <w:szCs w:val="22"/>
        </w:rPr>
        <w:t xml:space="preserve">и, утверждения и корректировки производственных программ организаций, осуществляющих горячее водоснабжение, холодное водоснабжение и (или) водоотведение, осуществления контроля за их выполнением и требованиями к содержанию таких производственных программ»)</w:t>
      </w:r>
      <w:r>
        <w:rPr>
          <w:rFonts w:ascii="Arial" w:hAnsi="Arial" w:eastAsia="Arial" w:cs="Arial"/>
          <w:szCs w:val="22"/>
        </w:rPr>
        <w:t xml:space="preserve">.</w:t>
      </w:r>
      <w:r/>
    </w:p>
    <w:p>
      <w:pPr>
        <w:pStyle w:val="638"/>
        <w:contextualSpacing/>
        <w:ind w:firstLine="768"/>
        <w:jc w:val="both"/>
        <w:spacing w:after="0" w:line="240" w:lineRule="auto"/>
      </w:pPr>
      <w:r>
        <w:rPr>
          <w:rFonts w:ascii="Arial" w:hAnsi="Arial" w:cs="Arial"/>
          <w:color w:val="00000a"/>
        </w:rPr>
        <w:t xml:space="preserve">6.   Планируемый   срок вступления в силу предлагаемого правового регулирования:</w:t>
      </w:r>
      <w:r>
        <w:rPr>
          <w:rFonts w:ascii="Arial" w:hAnsi="Arial" w:cs="Arial"/>
          <w:color w:val="00000a"/>
        </w:rPr>
        <w:t xml:space="preserve"> </w:t>
      </w:r>
      <w:r>
        <w:rPr>
          <w:rFonts w:ascii="Arial" w:hAnsi="Arial" w:cs="Arial"/>
          <w:color w:val="00000a"/>
        </w:rPr>
        <w:t xml:space="preserve">октябрь</w:t>
      </w:r>
      <w:r>
        <w:rPr>
          <w:rFonts w:ascii="Arial" w:hAnsi="Arial" w:cs="Arial"/>
          <w:color w:val="00000a"/>
        </w:rPr>
        <w:t xml:space="preserve"> 2026 года.</w:t>
      </w:r>
      <w:r/>
    </w:p>
    <w:p>
      <w:pPr>
        <w:pStyle w:val="638"/>
        <w:contextualSpacing/>
        <w:ind w:firstLine="708"/>
        <w:jc w:val="both"/>
        <w:spacing w:after="0" w:line="240" w:lineRule="auto"/>
      </w:pPr>
      <w:r>
        <w:rPr>
          <w:rFonts w:ascii="Arial" w:hAnsi="Arial" w:cs="Arial"/>
          <w:color w:val="00000a"/>
        </w:rPr>
        <w:t xml:space="preserve">7.  Сведения о необходимости или отсутствии необходимости установления переходного периода: необходимость установления переходного периода отсутствует.</w:t>
      </w:r>
      <w:r/>
    </w:p>
    <w:p>
      <w:pPr>
        <w:pStyle w:val="638"/>
        <w:contextualSpacing/>
        <w:ind w:firstLine="708"/>
        <w:jc w:val="both"/>
        <w:spacing w:after="0" w:line="240" w:lineRule="auto"/>
      </w:pPr>
      <w:r>
        <w:rPr>
          <w:rFonts w:ascii="Arial" w:hAnsi="Arial" w:cs="Arial"/>
        </w:rPr>
        <w:t xml:space="preserve">8. </w:t>
      </w:r>
      <w:r>
        <w:rPr>
          <w:rFonts w:ascii="Arial" w:hAnsi="Arial" w:cs="Arial"/>
          <w:color w:val="1a1a1a"/>
          <w:sz w:val="23"/>
        </w:rPr>
        <w:t xml:space="preserve">Круг лиц, на которых будет распространено предлагаемое правовое регулирование:</w:t>
      </w:r>
      <w:r>
        <w:t xml:space="preserve"> </w:t>
      </w:r>
      <w:r>
        <w:rPr>
          <w:rFonts w:ascii="Arial" w:hAnsi="Arial" w:cs="Arial"/>
          <w:color w:val="1a1a1a"/>
          <w:sz w:val="23"/>
        </w:rPr>
        <w:t xml:space="preserve">юридические лица и индивидуальные предприниматели, осуществляющие регулируемые виды</w:t>
      </w:r>
      <w:r>
        <w:rPr>
          <w:rFonts w:ascii="Arial" w:hAnsi="Arial" w:cs="Arial"/>
          <w:color w:val="1a1a1a"/>
          <w:sz w:val="23"/>
        </w:rPr>
        <w:t xml:space="preserve"> </w:t>
      </w:r>
      <w:r>
        <w:rPr>
          <w:rFonts w:ascii="Arial" w:hAnsi="Arial" w:cs="Arial"/>
          <w:color w:val="1a1a1a"/>
          <w:sz w:val="23"/>
        </w:rPr>
        <w:t xml:space="preserve">деятельности в </w:t>
      </w:r>
      <w:r>
        <w:rPr>
          <w:rFonts w:ascii="Arial" w:hAnsi="Arial" w:cs="Arial"/>
          <w:color w:val="1a1a1a"/>
          <w:sz w:val="23"/>
        </w:rPr>
        <w:t xml:space="preserve">сфере водоснабжения, горячего водоснабжения и водоотведения.</w:t>
      </w:r>
      <w:r/>
    </w:p>
    <w:p>
      <w:pPr>
        <w:pStyle w:val="638"/>
        <w:contextualSpacing/>
        <w:ind w:firstLine="708"/>
        <w:jc w:val="both"/>
        <w:spacing w:after="0" w:line="240" w:lineRule="auto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 xml:space="preserve">9. Сравнение возможных вариантов решения проблемы:</w:t>
      </w:r>
      <w:r>
        <w:rPr>
          <w:rFonts w:ascii="Arial" w:hAnsi="Arial" w:cs="Arial"/>
          <w:color w:val="00000a"/>
        </w:rPr>
      </w:r>
      <w:r>
        <w:rPr>
          <w:rFonts w:ascii="Arial" w:hAnsi="Arial" w:cs="Arial"/>
          <w:color w:val="00000a"/>
        </w:rPr>
      </w:r>
    </w:p>
    <w:p>
      <w:pPr>
        <w:pStyle w:val="638"/>
        <w:contextualSpacing/>
        <w:jc w:val="center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tblW w:w="10612" w:type="dxa"/>
        <w:tblInd w:w="-60" w:type="dxa"/>
        <w:tblLayout w:type="fixed"/>
        <w:tblCellMar>
          <w:left w:w="10" w:type="dxa"/>
          <w:top w:w="102" w:type="dxa"/>
          <w:right w:w="10" w:type="dxa"/>
          <w:bottom w:w="102" w:type="dxa"/>
        </w:tblCellMar>
        <w:tblLook w:val="04A0" w:firstRow="1" w:lastRow="0" w:firstColumn="1" w:lastColumn="0" w:noHBand="0" w:noVBand="1"/>
      </w:tblPr>
      <w:tblGrid>
        <w:gridCol w:w="3883"/>
        <w:gridCol w:w="3185"/>
        <w:gridCol w:w="3544"/>
      </w:tblGrid>
      <w:tr>
        <w:tblPrEx/>
        <w:trPr>
          <w:trHeight w:val="277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883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spacing w:line="240" w:lineRule="auto"/>
            </w:pPr>
            <w:r/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85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jc w:val="center"/>
              <w:spacing w:after="0" w:line="240" w:lineRule="auto"/>
            </w:pPr>
            <w:r>
              <w:rPr>
                <w:rFonts w:ascii="Arial" w:hAnsi="Arial" w:cs="Arial"/>
              </w:rPr>
              <w:t xml:space="preserve">Вариант 1</w:t>
            </w:r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544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jc w:val="center"/>
              <w:spacing w:after="0" w:line="240" w:lineRule="auto"/>
            </w:pPr>
            <w:r>
              <w:rPr>
                <w:rFonts w:ascii="Arial" w:hAnsi="Arial" w:cs="Arial"/>
              </w:rPr>
              <w:t xml:space="preserve">Вариант 2</w:t>
            </w:r>
            <w:r/>
          </w:p>
        </w:tc>
      </w:tr>
      <w:tr>
        <w:tblPrEx/>
        <w:trPr>
          <w:trHeight w:val="694"/>
        </w:trPr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883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jc w:val="both"/>
              <w:spacing w:after="0" w:line="240" w:lineRule="auto"/>
            </w:pPr>
            <w:r>
              <w:rPr>
                <w:rFonts w:ascii="Arial" w:hAnsi="Arial" w:cs="Arial"/>
              </w:rPr>
              <w:t xml:space="preserve">9.1. Содержание варианта решения выявленной проблемы</w:t>
            </w:r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85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spacing w:after="0" w:line="240" w:lineRule="auto"/>
            </w:pPr>
            <w:r>
              <w:rPr>
                <w:rFonts w:ascii="Arial" w:hAnsi="Arial" w:cs="Arial"/>
              </w:rPr>
              <w:t xml:space="preserve">Принятие проекта нормативного правового акта</w:t>
            </w:r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544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spacing w:after="0" w:line="240" w:lineRule="auto"/>
            </w:pPr>
            <w:r>
              <w:rPr>
                <w:rFonts w:ascii="Arial" w:hAnsi="Arial" w:cs="Arial"/>
              </w:rPr>
              <w:t xml:space="preserve">Непринятие проекта нормативного правового акта</w:t>
            </w:r>
            <w:r/>
          </w:p>
        </w:tc>
      </w:tr>
      <w:tr>
        <w:tblPrEx/>
        <w:trPr/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883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jc w:val="both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9.2. Качественная характеристика и оценка численности потенциальных адресатов предлагаемого правового регулирования в среднесрочном периоде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Style w:val="638"/>
              <w:contextualSpacing/>
              <w:spacing w:line="240" w:lineRule="auto"/>
            </w:pPr>
            <w:r/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85" w:type="dxa"/>
            <w:vAlign w:val="top"/>
            <w:textDirection w:val="lrTb"/>
            <w:noWrap w:val="false"/>
          </w:tcPr>
          <w:p>
            <w:pPr>
              <w:pStyle w:val="625"/>
              <w:contextualSpacing/>
              <w:rPr>
                <w:szCs w:val="22"/>
                <w:lang w:val="ru-RU"/>
              </w:rPr>
            </w:pPr>
            <w:r>
              <w:rPr>
                <w:rFonts w:ascii="Arial" w:hAnsi="Arial" w:cs="Arial"/>
                <w:color w:val="00000a"/>
                <w:sz w:val="22"/>
                <w:szCs w:val="22"/>
                <w:lang w:val="ru-RU"/>
              </w:rPr>
              <w:t xml:space="preserve">соответствие требованиям федерального законодательства, 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ru-RU"/>
              </w:rPr>
              <w:t xml:space="preserve">наличие 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ru-RU"/>
              </w:rPr>
              <w:t xml:space="preserve">утвержденн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ru-RU"/>
              </w:rPr>
              <w:t xml:space="preserve">ых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ru-RU"/>
              </w:rPr>
              <w:t xml:space="preserve"> в соответствие с действующим законодательством 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ru-RU"/>
              </w:rPr>
              <w:t xml:space="preserve">форм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ru-RU"/>
              </w:rPr>
              <w:t xml:space="preserve"> производственных программ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lang w:val="ru-RU"/>
              </w:rPr>
              <w:t xml:space="preserve">организаций, осуществляющих горячее водоснабжение, холодное водоснабжение и (или) водоотведение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ru-RU"/>
              </w:rPr>
              <w:t xml:space="preserve"> </w:t>
            </w:r>
            <w:r>
              <w:rPr>
                <w:szCs w:val="22"/>
                <w:lang w:val="ru-RU"/>
              </w:rPr>
            </w:r>
            <w:r>
              <w:rPr>
                <w:szCs w:val="22"/>
                <w:lang w:val="ru-RU"/>
              </w:rPr>
            </w:r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544" w:type="dxa"/>
            <w:vAlign w:val="top"/>
            <w:textDirection w:val="lrTb"/>
            <w:noWrap w:val="false"/>
          </w:tcPr>
          <w:p>
            <w:pPr>
              <w:pStyle w:val="625"/>
              <w:contextualSpacing/>
              <w:rPr>
                <w:lang w:val="ru-RU"/>
              </w:rPr>
            </w:pPr>
            <w:r>
              <w:rPr>
                <w:rFonts w:ascii="Arial" w:hAnsi="Arial" w:cs="Arial"/>
                <w:color w:val="00000a"/>
                <w:sz w:val="22"/>
                <w:szCs w:val="22"/>
                <w:lang w:val="ru-RU"/>
              </w:rPr>
              <w:t xml:space="preserve">не соответствие требованиям федерального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ru-RU"/>
              </w:rPr>
              <w:t xml:space="preserve"> законодательства: отсутствие утвержденн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ru-RU"/>
              </w:rPr>
              <w:t xml:space="preserve">ых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ru-RU"/>
              </w:rPr>
              <w:t xml:space="preserve"> в соответствие с действующим законодательством 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ru-RU"/>
              </w:rPr>
              <w:t xml:space="preserve">форм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ru-RU"/>
              </w:rPr>
              <w:t xml:space="preserve"> производственных программ </w:t>
            </w:r>
            <w:r>
              <w:rPr>
                <w:rFonts w:ascii="Arial" w:hAnsi="Arial" w:cs="Arial"/>
                <w:bCs/>
                <w:sz w:val="22"/>
                <w:lang w:val="ru-RU"/>
              </w:rPr>
              <w:t xml:space="preserve">организаций, осуществляющих горячее водоснабжение, холодное водоснабжение и (или) водоотведение</w:t>
            </w:r>
            <w:r>
              <w:rPr>
                <w:rFonts w:ascii="Arial" w:hAnsi="Arial" w:cs="Arial"/>
                <w:color w:val="00000a"/>
                <w:sz w:val="22"/>
                <w:szCs w:val="22"/>
                <w:lang w:val="ru-RU"/>
              </w:rPr>
              <w:t xml:space="preserve">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883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spacing w:after="0" w:line="240" w:lineRule="auto"/>
            </w:pPr>
            <w:r>
              <w:rPr>
                <w:rFonts w:ascii="Arial" w:hAnsi="Arial" w:cs="Arial"/>
              </w:rPr>
              <w:t xml:space="preserve">9.3. Оценка дополнительных расходов (доходов) потенциальных адресатов предлагаемого правового регулирования, связанных с его введением</w:t>
            </w:r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85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Дополнительные расходы отсутствуют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Style w:val="638"/>
              <w:contextualSpacing/>
              <w:spacing w:line="240" w:lineRule="auto"/>
            </w:pPr>
            <w:r/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544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Дополнительные расходы отсутствуют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Style w:val="638"/>
              <w:contextualSpacing/>
              <w:spacing w:line="240" w:lineRule="auto"/>
            </w:pPr>
            <w:r/>
            <w:r/>
          </w:p>
        </w:tc>
      </w:tr>
      <w:tr>
        <w:tblPrEx/>
        <w:trPr/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883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spacing w:after="0" w:line="240" w:lineRule="auto"/>
            </w:pPr>
            <w:r>
              <w:rPr>
                <w:rFonts w:ascii="Arial" w:hAnsi="Arial" w:cs="Arial"/>
              </w:rPr>
              <w:t xml:space="preserve">9.4. Оценка расходов (доходов) бюджета Курганской области, связанных с введением предлагаемого правового регулирования</w:t>
            </w:r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85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Расходы бюджета отсутствуют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Style w:val="638"/>
              <w:contextualSpacing/>
              <w:spacing w:line="240" w:lineRule="auto"/>
            </w:pPr>
            <w:r/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544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Расходы бюджета отсутствуют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Style w:val="638"/>
              <w:contextualSpacing/>
              <w:spacing w:line="240" w:lineRule="auto"/>
            </w:pPr>
            <w:r/>
            <w:r/>
          </w:p>
        </w:tc>
      </w:tr>
      <w:tr>
        <w:tblPrEx/>
        <w:trPr/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883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spacing w:after="0" w:line="240" w:lineRule="auto"/>
            </w:pPr>
            <w:r>
              <w:rPr>
                <w:rFonts w:ascii="Arial" w:hAnsi="Arial" w:cs="Arial"/>
              </w:rPr>
              <w:t xml:space="preserve">9.5. Оценка возможности достижения заявленных целей предлагаемого правового регулирования посредством применения рассматрива</w:t>
            </w:r>
            <w:r>
              <w:rPr>
                <w:rFonts w:ascii="Arial" w:hAnsi="Arial" w:cs="Arial"/>
              </w:rPr>
              <w:t xml:space="preserve">емых вариантов предлагаемого правового регулирования</w:t>
            </w:r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85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Заявленная цель будет достигнута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Style w:val="638"/>
              <w:contextualSpacing/>
              <w:spacing w:line="240" w:lineRule="auto"/>
            </w:pPr>
            <w:r/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544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Заявленная цель не будет достигнута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Style w:val="638"/>
              <w:contextualSpacing/>
              <w:spacing w:line="240" w:lineRule="auto"/>
            </w:pPr>
            <w:r/>
            <w:r/>
          </w:p>
        </w:tc>
      </w:tr>
      <w:tr>
        <w:tblPrEx/>
        <w:trPr/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883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spacing w:after="0" w:line="240" w:lineRule="auto"/>
            </w:pPr>
            <w:r>
              <w:rPr>
                <w:rFonts w:ascii="Arial" w:hAnsi="Arial" w:cs="Arial"/>
              </w:rPr>
              <w:t xml:space="preserve">9.6. Оценка рисков неблагоприятных последствий</w:t>
            </w:r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85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spacing w:after="0" w:line="240" w:lineRule="auto"/>
            </w:pPr>
            <w:r>
              <w:rPr>
                <w:rFonts w:ascii="Arial" w:hAnsi="Arial" w:cs="Arial"/>
              </w:rPr>
              <w:t xml:space="preserve">Отсутствуют</w:t>
            </w:r>
            <w:r/>
          </w:p>
        </w:tc>
        <w:tc>
          <w:tcPr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544" w:type="dxa"/>
            <w:vAlign w:val="top"/>
            <w:textDirection w:val="lrTb"/>
            <w:noWrap w:val="false"/>
          </w:tcPr>
          <w:p>
            <w:pPr>
              <w:pStyle w:val="638"/>
              <w:contextualSpacing/>
              <w:spacing w:after="0" w:line="240" w:lineRule="auto"/>
            </w:pPr>
            <w:r>
              <w:rPr>
                <w:rFonts w:ascii="Arial" w:hAnsi="Arial" w:cs="Arial"/>
              </w:rPr>
              <w:t xml:space="preserve">Отсутствуют</w:t>
            </w:r>
            <w:r/>
          </w:p>
        </w:tc>
      </w:tr>
    </w:tbl>
    <w:p>
      <w:pPr>
        <w:pStyle w:val="638"/>
        <w:contextualSpacing/>
        <w:jc w:val="center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638"/>
        <w:contextualSpacing/>
        <w:ind w:firstLine="708"/>
        <w:jc w:val="both"/>
        <w:spacing w:after="0" w:line="240" w:lineRule="auto"/>
      </w:pPr>
      <w:r>
        <w:rPr>
          <w:rFonts w:ascii="Arial" w:hAnsi="Arial" w:cs="Arial"/>
          <w:color w:val="00000a"/>
        </w:rPr>
        <w:t xml:space="preserve">10.  Иная информация по решению разработчика, относящаяся к сведениям о подготовке идеи (концепции) предлагаемого правового регулирования: отсутствует</w:t>
      </w:r>
      <w:r/>
    </w:p>
    <w:p>
      <w:pPr>
        <w:pStyle w:val="638"/>
        <w:contextualSpacing/>
        <w:ind w:firstLine="708"/>
        <w:jc w:val="both"/>
        <w:spacing w:after="0" w:line="240" w:lineRule="auto"/>
      </w:pPr>
      <w:r>
        <w:rPr>
          <w:rFonts w:ascii="Arial" w:hAnsi="Arial" w:cs="Arial"/>
          <w:color w:val="00000a"/>
        </w:rPr>
        <w:t xml:space="preserve">11.  Иные материалы и информация по усмотрению разработчика, служащие обоснованием выбора предлагаемого варианта правового регулирования: отсутствуют.</w:t>
      </w:r>
      <w:r/>
    </w:p>
    <w:p>
      <w:pPr>
        <w:pStyle w:val="638"/>
        <w:contextualSpacing/>
        <w:jc w:val="center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sectPr>
      <w:footnotePr/>
      <w:endnotePr/>
      <w:type w:val="nextPage"/>
      <w:pgSz w:w="11906" w:h="16838" w:orient="portrait"/>
      <w:pgMar w:top="1440" w:right="1080" w:bottom="1440" w:left="108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409020205020404"/>
  </w:font>
  <w:font w:name="OpenSymbol">
    <w:panose1 w:val="05010000000000000000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Arial Unicode MS">
    <w:panose1 w:val="020B0604020202020204"/>
  </w:font>
  <w:font w:name="Tahoma">
    <w:panose1 w:val="020B0606030504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04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</w:pPr>
    </w:lvl>
  </w:abstractNum>
  <w:abstractNum w:abstractNumId="1">
    <w:multiLevelType w:val="hybridMultilevel"/>
    <w:lvl w:ilvl="0">
      <w:start w:val="0"/>
      <w:numFmt w:val="bullet"/>
      <w:pStyle w:val="706"/>
      <w:isLgl w:val="false"/>
      <w:suff w:val="tab"/>
      <w:lvlText w:val="·"/>
      <w:lvlJc w:val="left"/>
      <w:pPr>
        <w:ind w:left="432" w:hanging="432"/>
      </w:pPr>
    </w:lvl>
    <w:lvl w:ilvl="1">
      <w:start w:val="0"/>
      <w:numFmt w:val="bullet"/>
      <w:isLgl w:val="false"/>
      <w:suff w:val="tab"/>
      <w:lvlText w:val="o"/>
      <w:lvlJc w:val="left"/>
      <w:pPr>
        <w:ind w:left="576" w:hanging="576"/>
      </w:pPr>
    </w:lvl>
    <w:lvl w:ilvl="2">
      <w:start w:val="0"/>
      <w:numFmt w:val="bullet"/>
      <w:isLgl w:val="false"/>
      <w:suff w:val="tab"/>
      <w:lvlText w:val="§"/>
      <w:lvlJc w:val="left"/>
      <w:pPr>
        <w:ind w:left="720" w:hanging="720"/>
      </w:pPr>
    </w:lvl>
    <w:lvl w:ilvl="3">
      <w:start w:val="0"/>
      <w:numFmt w:val="bullet"/>
      <w:isLgl w:val="false"/>
      <w:suff w:val="tab"/>
      <w:lvlText w:val="·"/>
      <w:lvlJc w:val="left"/>
      <w:pPr>
        <w:ind w:left="864" w:hanging="864"/>
      </w:pPr>
    </w:lvl>
    <w:lvl w:ilvl="4">
      <w:start w:val="0"/>
      <w:numFmt w:val="bullet"/>
      <w:isLgl w:val="false"/>
      <w:suff w:val="tab"/>
      <w:lvlText w:val="o"/>
      <w:lvlJc w:val="left"/>
      <w:pPr>
        <w:ind w:left="1008" w:hanging="1008"/>
      </w:pPr>
    </w:lvl>
    <w:lvl w:ilvl="5">
      <w:start w:val="0"/>
      <w:numFmt w:val="bullet"/>
      <w:isLgl w:val="false"/>
      <w:suff w:val="tab"/>
      <w:lvlText w:val="§"/>
      <w:lvlJc w:val="left"/>
      <w:pPr>
        <w:ind w:left="1152" w:hanging="1152"/>
      </w:pPr>
    </w:lvl>
    <w:lvl w:ilvl="6">
      <w:start w:val="0"/>
      <w:numFmt w:val="bullet"/>
      <w:isLgl w:val="false"/>
      <w:suff w:val="tab"/>
      <w:lvlText w:val="·"/>
      <w:lvlJc w:val="left"/>
      <w:pPr>
        <w:ind w:left="1296" w:hanging="1296"/>
      </w:pPr>
    </w:lvl>
    <w:lvl w:ilvl="7">
      <w:start w:val="0"/>
      <w:numFmt w:val="bullet"/>
      <w:isLgl w:val="false"/>
      <w:suff w:val="tab"/>
      <w:lvlText w:val="o"/>
      <w:lvlJc w:val="left"/>
      <w:pPr>
        <w:ind w:left="1440" w:hanging="1440"/>
      </w:pPr>
    </w:lvl>
    <w:lvl w:ilvl="8">
      <w:start w:val="0"/>
      <w:numFmt w:val="bullet"/>
      <w:isLgl w:val="false"/>
      <w:suff w:val="tab"/>
      <w:lvlText w:val="§"/>
      <w:lvlJc w:val="left"/>
      <w:pPr>
        <w:ind w:left="1584" w:hanging="1584"/>
      </w:pPr>
    </w:lvl>
  </w:abstractNum>
  <w:abstractNum w:abstractNumId="2">
    <w:multiLevelType w:val="hybridMultilevel"/>
    <w:lvl w:ilvl="0">
      <w:start w:val="1"/>
      <w:numFmt w:val="decimal"/>
      <w:pStyle w:val="705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</w:pPr>
    </w:lvl>
    <w:lvl w:ilvl="2">
      <w:start w:val="2"/>
      <w:numFmt w:val="decimal"/>
      <w:isLgl w:val="false"/>
      <w:suff w:val="tab"/>
      <w:lvlText w:val="%3."/>
      <w:lvlJc w:val="left"/>
      <w:pPr>
        <w:ind w:left="144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</w:pPr>
    </w:lvl>
  </w:abstractNum>
  <w:abstractNum w:abstractNumId="3">
    <w:multiLevelType w:val="hybridMultilevel"/>
    <w:lvl w:ilvl="0">
      <w:start w:val="0"/>
      <w:numFmt w:val="bullet"/>
      <w:pStyle w:val="707"/>
      <w:isLgl w:val="false"/>
      <w:suff w:val="tab"/>
      <w:lvlText w:val=""/>
      <w:lvlJc w:val="left"/>
      <w:pPr>
        <w:ind w:left="1477" w:hanging="360"/>
      </w:pPr>
      <w:rPr>
        <w:rFonts w:ascii="Arial" w:hAnsi="Arial" w:cs="Arial"/>
      </w:rPr>
    </w:lvl>
    <w:lvl w:ilvl="1">
      <w:start w:val="0"/>
      <w:numFmt w:val="bullet"/>
      <w:isLgl w:val="false"/>
      <w:suff w:val="tab"/>
      <w:lvlText w:val="o"/>
      <w:lvlJc w:val="left"/>
      <w:pPr>
        <w:ind w:left="2197" w:hanging="360"/>
      </w:pPr>
      <w:rPr>
        <w:rFonts w:ascii="Courier New" w:hAnsi="Courier New" w:cs="Courier New"/>
      </w:rPr>
    </w:lvl>
    <w:lvl w:ilvl="2">
      <w:start w:val="0"/>
      <w:numFmt w:val="bullet"/>
      <w:isLgl w:val="false"/>
      <w:suff w:val="tab"/>
      <w:lvlText w:val="§"/>
      <w:lvlJc w:val="left"/>
      <w:pPr>
        <w:ind w:left="2917" w:hanging="360"/>
      </w:pPr>
      <w:rPr>
        <w:rFonts w:ascii="Wingdings" w:hAnsi="Wingdings" w:cs="Wingdings"/>
      </w:rPr>
    </w:lvl>
    <w:lvl w:ilvl="3">
      <w:start w:val="0"/>
      <w:numFmt w:val="bullet"/>
      <w:isLgl w:val="false"/>
      <w:suff w:val="tab"/>
      <w:lvlText w:val="·"/>
      <w:lvlJc w:val="left"/>
      <w:pPr>
        <w:ind w:left="3637" w:hanging="360"/>
      </w:pPr>
      <w:rPr>
        <w:rFonts w:ascii="Symbol" w:hAnsi="Symbol" w:cs="Symbol"/>
      </w:rPr>
    </w:lvl>
    <w:lvl w:ilvl="4">
      <w:start w:val="0"/>
      <w:numFmt w:val="bullet"/>
      <w:isLgl w:val="false"/>
      <w:suff w:val="tab"/>
      <w:lvlText w:val="o"/>
      <w:lvlJc w:val="left"/>
      <w:pPr>
        <w:ind w:left="4357" w:hanging="360"/>
      </w:pPr>
      <w:rPr>
        <w:rFonts w:ascii="Courier New" w:hAnsi="Courier New" w:cs="Courier New"/>
      </w:rPr>
    </w:lvl>
    <w:lvl w:ilvl="5">
      <w:start w:val="0"/>
      <w:numFmt w:val="bullet"/>
      <w:isLgl w:val="false"/>
      <w:suff w:val="tab"/>
      <w:lvlText w:val="§"/>
      <w:lvlJc w:val="left"/>
      <w:pPr>
        <w:ind w:left="5077" w:hanging="360"/>
      </w:pPr>
      <w:rPr>
        <w:rFonts w:ascii="Wingdings" w:hAnsi="Wingdings" w:cs="Wingdings"/>
      </w:rPr>
    </w:lvl>
    <w:lvl w:ilvl="6">
      <w:start w:val="0"/>
      <w:numFmt w:val="bullet"/>
      <w:isLgl w:val="false"/>
      <w:suff w:val="tab"/>
      <w:lvlText w:val="·"/>
      <w:lvlJc w:val="left"/>
      <w:pPr>
        <w:ind w:left="5800" w:hanging="360"/>
      </w:pPr>
      <w:rPr>
        <w:rFonts w:ascii="Symbol" w:hAnsi="Symbol" w:cs="Symbol"/>
      </w:rPr>
    </w:lvl>
    <w:lvl w:ilvl="7">
      <w:start w:val="0"/>
      <w:numFmt w:val="bullet"/>
      <w:isLgl w:val="false"/>
      <w:suff w:val="tab"/>
      <w:lvlText w:val="o"/>
      <w:lvlJc w:val="left"/>
      <w:pPr>
        <w:ind w:left="6520" w:hanging="360"/>
      </w:pPr>
      <w:rPr>
        <w:rFonts w:ascii="Courier New" w:hAnsi="Courier New" w:cs="Courier New"/>
      </w:rPr>
    </w:lvl>
    <w:lvl w:ilvl="8">
      <w:start w:val="0"/>
      <w:numFmt w:val="bullet"/>
      <w:isLgl w:val="false"/>
      <w:suff w:val="tab"/>
      <w:lvlText w:val="§"/>
      <w:lvlJc w:val="left"/>
      <w:pPr>
        <w:ind w:left="724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Arial Unicode MS" w:cs="Tahoma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5"/>
    <w:next w:val="625"/>
    <w:link w:val="67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5"/>
    <w:next w:val="625"/>
    <w:link w:val="671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5"/>
    <w:next w:val="625"/>
    <w:link w:val="67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5"/>
    <w:next w:val="625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5"/>
    <w:next w:val="625"/>
    <w:link w:val="67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5"/>
    <w:next w:val="625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5"/>
    <w:next w:val="625"/>
    <w:link w:val="67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5"/>
    <w:next w:val="625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5"/>
    <w:next w:val="625"/>
    <w:link w:val="67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5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5"/>
    <w:next w:val="625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37">
    <w:name w:val="Subtitle"/>
    <w:basedOn w:val="625"/>
    <w:next w:val="625"/>
    <w:link w:val="680"/>
    <w:uiPriority w:val="11"/>
    <w:qFormat/>
    <w:pPr>
      <w:spacing w:before="200" w:after="200"/>
    </w:pPr>
    <w:rPr>
      <w:sz w:val="24"/>
      <w:szCs w:val="24"/>
    </w:rPr>
  </w:style>
  <w:style w:type="paragraph" w:styleId="39">
    <w:name w:val="Quote"/>
    <w:basedOn w:val="625"/>
    <w:next w:val="625"/>
    <w:link w:val="681"/>
    <w:uiPriority w:val="29"/>
    <w:qFormat/>
    <w:pPr>
      <w:ind w:left="720" w:right="720"/>
    </w:pPr>
    <w:rPr>
      <w:i/>
    </w:rPr>
  </w:style>
  <w:style w:type="paragraph" w:styleId="41">
    <w:name w:val="Intense Quote"/>
    <w:basedOn w:val="625"/>
    <w:next w:val="625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43">
    <w:name w:val="Header"/>
    <w:basedOn w:val="625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45">
    <w:name w:val="Footer"/>
    <w:basedOn w:val="625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47">
    <w:name w:val="Caption"/>
    <w:basedOn w:val="625"/>
    <w:next w:val="625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5"/>
    <w:link w:val="68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25"/>
    <w:link w:val="690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25"/>
    <w:next w:val="625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5"/>
    <w:next w:val="625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5"/>
    <w:next w:val="625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5"/>
    <w:next w:val="625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5"/>
    <w:next w:val="625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5"/>
    <w:next w:val="625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5"/>
    <w:next w:val="625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5"/>
    <w:next w:val="625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5"/>
    <w:next w:val="625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5"/>
    <w:next w:val="625"/>
    <w:uiPriority w:val="99"/>
    <w:unhideWhenUsed/>
    <w:pPr>
      <w:spacing w:after="0" w:afterAutospacing="0"/>
    </w:pPr>
  </w:style>
  <w:style w:type="paragraph" w:styleId="625" w:default="1">
    <w:name w:val="Normal"/>
    <w:next w:val="625"/>
    <w:link w:val="625"/>
    <w:qFormat/>
    <w:pPr>
      <w:widowControl w:val="off"/>
    </w:pPr>
    <w:rPr>
      <w:color w:val="000000"/>
      <w:sz w:val="24"/>
      <w:szCs w:val="24"/>
      <w:lang w:val="en-US" w:eastAsia="en-US" w:bidi="en-US"/>
    </w:rPr>
  </w:style>
  <w:style w:type="paragraph" w:styleId="626">
    <w:name w:val="Заголовок 1"/>
    <w:basedOn w:val="625"/>
    <w:next w:val="626"/>
    <w:link w:val="625"/>
    <w:uiPriority w:val="9"/>
    <w:qFormat/>
    <w:pPr>
      <w:spacing w:before="480"/>
      <w:outlineLvl w:val="0"/>
    </w:pPr>
    <w:rPr>
      <w:rFonts w:ascii="Arial" w:hAnsi="Arial" w:cs="Arial"/>
      <w:sz w:val="40"/>
    </w:rPr>
  </w:style>
  <w:style w:type="paragraph" w:styleId="627">
    <w:name w:val="Заголовок 2"/>
    <w:basedOn w:val="625"/>
    <w:next w:val="627"/>
    <w:link w:val="625"/>
    <w:uiPriority w:val="9"/>
    <w:semiHidden/>
    <w:unhideWhenUsed/>
    <w:qFormat/>
    <w:pPr>
      <w:spacing w:before="360"/>
      <w:outlineLvl w:val="1"/>
    </w:pPr>
    <w:rPr>
      <w:rFonts w:ascii="Arial" w:hAnsi="Arial" w:cs="Arial"/>
      <w:sz w:val="34"/>
    </w:rPr>
  </w:style>
  <w:style w:type="paragraph" w:styleId="628">
    <w:name w:val="Заголовок 3"/>
    <w:basedOn w:val="625"/>
    <w:next w:val="628"/>
    <w:link w:val="625"/>
    <w:uiPriority w:val="9"/>
    <w:semiHidden/>
    <w:unhideWhenUsed/>
    <w:qFormat/>
    <w:pPr>
      <w:spacing w:before="320"/>
      <w:outlineLvl w:val="2"/>
    </w:pPr>
    <w:rPr>
      <w:rFonts w:ascii="Arial" w:hAnsi="Arial" w:cs="Arial"/>
      <w:sz w:val="30"/>
    </w:rPr>
  </w:style>
  <w:style w:type="paragraph" w:styleId="629">
    <w:name w:val="Заголовок 4"/>
    <w:basedOn w:val="625"/>
    <w:next w:val="629"/>
    <w:link w:val="625"/>
    <w:uiPriority w:val="9"/>
    <w:semiHidden/>
    <w:unhideWhenUsed/>
    <w:qFormat/>
    <w:pPr>
      <w:spacing w:before="320"/>
      <w:outlineLvl w:val="3"/>
    </w:pPr>
    <w:rPr>
      <w:rFonts w:ascii="Arial" w:hAnsi="Arial" w:cs="Arial"/>
      <w:b/>
      <w:sz w:val="26"/>
    </w:rPr>
  </w:style>
  <w:style w:type="paragraph" w:styleId="630">
    <w:name w:val="Заголовок 5"/>
    <w:basedOn w:val="625"/>
    <w:next w:val="630"/>
    <w:link w:val="625"/>
    <w:uiPriority w:val="9"/>
    <w:semiHidden/>
    <w:unhideWhenUsed/>
    <w:qFormat/>
    <w:pPr>
      <w:spacing w:before="320"/>
      <w:outlineLvl w:val="4"/>
    </w:pPr>
    <w:rPr>
      <w:rFonts w:ascii="Arial" w:hAnsi="Arial" w:cs="Arial"/>
      <w:b/>
    </w:rPr>
  </w:style>
  <w:style w:type="paragraph" w:styleId="631">
    <w:name w:val="Заголовок 6"/>
    <w:basedOn w:val="625"/>
    <w:next w:val="631"/>
    <w:link w:val="625"/>
    <w:uiPriority w:val="9"/>
    <w:semiHidden/>
    <w:unhideWhenUsed/>
    <w:qFormat/>
    <w:pPr>
      <w:spacing w:before="320"/>
      <w:outlineLvl w:val="5"/>
    </w:pPr>
    <w:rPr>
      <w:rFonts w:ascii="Arial" w:hAnsi="Arial" w:cs="Arial"/>
      <w:b/>
    </w:rPr>
  </w:style>
  <w:style w:type="paragraph" w:styleId="632">
    <w:name w:val="Заголовок 7"/>
    <w:basedOn w:val="625"/>
    <w:next w:val="632"/>
    <w:link w:val="625"/>
    <w:pPr>
      <w:spacing w:before="320"/>
      <w:outlineLvl w:val="6"/>
    </w:pPr>
    <w:rPr>
      <w:rFonts w:ascii="Arial" w:hAnsi="Arial" w:cs="Arial"/>
      <w:b/>
      <w:i/>
    </w:rPr>
  </w:style>
  <w:style w:type="paragraph" w:styleId="633">
    <w:name w:val="Заголовок 8"/>
    <w:basedOn w:val="625"/>
    <w:next w:val="633"/>
    <w:link w:val="625"/>
    <w:pPr>
      <w:spacing w:before="320"/>
      <w:outlineLvl w:val="7"/>
    </w:pPr>
    <w:rPr>
      <w:rFonts w:ascii="Arial" w:hAnsi="Arial" w:cs="Arial"/>
      <w:i/>
    </w:rPr>
  </w:style>
  <w:style w:type="paragraph" w:styleId="634">
    <w:name w:val="Заголовок 9"/>
    <w:basedOn w:val="625"/>
    <w:next w:val="634"/>
    <w:link w:val="625"/>
    <w:pPr>
      <w:spacing w:before="320"/>
      <w:outlineLvl w:val="8"/>
    </w:pPr>
    <w:rPr>
      <w:rFonts w:ascii="Arial" w:hAnsi="Arial" w:cs="Arial"/>
      <w:i/>
      <w:sz w:val="21"/>
    </w:rPr>
  </w:style>
  <w:style w:type="character" w:styleId="635">
    <w:name w:val="Основной шрифт абзаца"/>
    <w:next w:val="635"/>
    <w:link w:val="625"/>
    <w:uiPriority w:val="1"/>
    <w:unhideWhenUsed/>
  </w:style>
  <w:style w:type="table" w:styleId="636">
    <w:name w:val="Обычная таблица"/>
    <w:next w:val="636"/>
    <w:link w:val="625"/>
    <w:uiPriority w:val="99"/>
    <w:semiHidden/>
    <w:unhideWhenUsed/>
    <w:tblPr/>
  </w:style>
  <w:style w:type="numbering" w:styleId="637">
    <w:name w:val="Нет списка"/>
    <w:next w:val="637"/>
    <w:link w:val="625"/>
    <w:uiPriority w:val="99"/>
    <w:semiHidden/>
    <w:unhideWhenUsed/>
  </w:style>
  <w:style w:type="paragraph" w:styleId="638">
    <w:name w:val="Standard"/>
    <w:basedOn w:val="639"/>
    <w:next w:val="638"/>
    <w:link w:val="625"/>
  </w:style>
  <w:style w:type="paragraph" w:styleId="639">
    <w:name w:val="DStyle_paragraph"/>
    <w:next w:val="639"/>
    <w:link w:val="625"/>
    <w:pPr>
      <w:spacing w:after="200" w:line="276" w:lineRule="auto"/>
      <w:widowControl w:val="off"/>
    </w:pPr>
    <w:rPr>
      <w:rFonts w:ascii="Calibri" w:hAnsi="Calibri" w:cs="Calibri"/>
      <w:color w:val="000000"/>
      <w:sz w:val="22"/>
      <w:szCs w:val="24"/>
      <w:lang w:val="ru-RU" w:eastAsia="en-US" w:bidi="en-US"/>
    </w:rPr>
  </w:style>
  <w:style w:type="paragraph" w:styleId="640">
    <w:name w:val="Heading"/>
    <w:basedOn w:val="638"/>
    <w:next w:val="640"/>
    <w:link w:val="625"/>
    <w:pPr>
      <w:spacing w:before="240" w:after="120"/>
    </w:pPr>
    <w:rPr>
      <w:rFonts w:ascii="Arial" w:hAnsi="Arial" w:cs="Arial"/>
      <w:sz w:val="28"/>
    </w:rPr>
  </w:style>
  <w:style w:type="paragraph" w:styleId="641">
    <w:name w:val="Text body"/>
    <w:basedOn w:val="638"/>
    <w:next w:val="641"/>
    <w:link w:val="625"/>
    <w:pPr>
      <w:spacing w:after="120"/>
    </w:pPr>
  </w:style>
  <w:style w:type="paragraph" w:styleId="642">
    <w:name w:val="Абзац списка"/>
    <w:basedOn w:val="625"/>
    <w:next w:val="642"/>
    <w:link w:val="625"/>
    <w:pPr>
      <w:ind w:left="720"/>
    </w:pPr>
  </w:style>
  <w:style w:type="paragraph" w:styleId="643">
    <w:name w:val="Без интервала"/>
    <w:basedOn w:val="639"/>
    <w:next w:val="643"/>
    <w:link w:val="625"/>
    <w:pPr>
      <w:spacing w:after="0" w:line="240" w:lineRule="auto"/>
    </w:pPr>
  </w:style>
  <w:style w:type="paragraph" w:styleId="644">
    <w:name w:val="Заголовок"/>
    <w:basedOn w:val="625"/>
    <w:next w:val="644"/>
    <w:link w:val="625"/>
    <w:uiPriority w:val="10"/>
    <w:qFormat/>
    <w:pPr>
      <w:spacing w:before="300"/>
    </w:pPr>
    <w:rPr>
      <w:sz w:val="48"/>
    </w:rPr>
  </w:style>
  <w:style w:type="paragraph" w:styleId="645">
    <w:name w:val="Подзаголовок"/>
    <w:basedOn w:val="625"/>
    <w:next w:val="645"/>
    <w:link w:val="625"/>
    <w:uiPriority w:val="11"/>
    <w:qFormat/>
    <w:pPr>
      <w:spacing w:before="200"/>
    </w:pPr>
  </w:style>
  <w:style w:type="paragraph" w:styleId="646">
    <w:name w:val="Цитата 2"/>
    <w:basedOn w:val="625"/>
    <w:next w:val="646"/>
    <w:link w:val="625"/>
    <w:pPr>
      <w:ind w:left="720" w:right="720"/>
    </w:pPr>
    <w:rPr>
      <w:i/>
    </w:rPr>
  </w:style>
  <w:style w:type="paragraph" w:styleId="647">
    <w:name w:val="Выделенная цитата"/>
    <w:basedOn w:val="625"/>
    <w:next w:val="647"/>
    <w:link w:val="625"/>
    <w:pPr>
      <w:ind w:left="720" w:right="720"/>
      <w:shd w:val="clear" w:color="auto" w:fill="f2f2f2"/>
      <w:pBdr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</w:pBdr>
    </w:pPr>
    <w:rPr>
      <w:i/>
    </w:rPr>
  </w:style>
  <w:style w:type="paragraph" w:styleId="648">
    <w:name w:val="Верхний колонтитул"/>
    <w:basedOn w:val="625"/>
    <w:next w:val="648"/>
    <w:link w:val="625"/>
    <w:pPr>
      <w:tabs>
        <w:tab w:val="center" w:pos="7143" w:leader="none"/>
        <w:tab w:val="right" w:pos="14287" w:leader="none"/>
      </w:tabs>
    </w:pPr>
  </w:style>
  <w:style w:type="paragraph" w:styleId="649">
    <w:name w:val="Нижний колонтитул"/>
    <w:basedOn w:val="625"/>
    <w:next w:val="649"/>
    <w:link w:val="625"/>
    <w:pPr>
      <w:tabs>
        <w:tab w:val="center" w:pos="7143" w:leader="none"/>
        <w:tab w:val="right" w:pos="14287" w:leader="none"/>
      </w:tabs>
    </w:pPr>
  </w:style>
  <w:style w:type="paragraph" w:styleId="650">
    <w:name w:val="Текст сноски"/>
    <w:basedOn w:val="625"/>
    <w:next w:val="650"/>
    <w:link w:val="625"/>
    <w:pPr>
      <w:spacing w:after="40"/>
    </w:pPr>
    <w:rPr>
      <w:sz w:val="18"/>
    </w:rPr>
  </w:style>
  <w:style w:type="paragraph" w:styleId="651">
    <w:name w:val="Текст концевой сноски"/>
    <w:basedOn w:val="625"/>
    <w:next w:val="651"/>
    <w:link w:val="625"/>
    <w:rPr>
      <w:sz w:val="20"/>
    </w:rPr>
  </w:style>
  <w:style w:type="paragraph" w:styleId="652">
    <w:name w:val="Оглавление 1"/>
    <w:basedOn w:val="625"/>
    <w:next w:val="652"/>
    <w:link w:val="625"/>
    <w:pPr>
      <w:spacing w:after="57"/>
    </w:pPr>
  </w:style>
  <w:style w:type="paragraph" w:styleId="653">
    <w:name w:val="Оглавление 2"/>
    <w:basedOn w:val="625"/>
    <w:next w:val="653"/>
    <w:link w:val="625"/>
    <w:pPr>
      <w:ind w:left="283"/>
      <w:spacing w:after="57"/>
    </w:pPr>
  </w:style>
  <w:style w:type="paragraph" w:styleId="654">
    <w:name w:val="Оглавление 3"/>
    <w:basedOn w:val="625"/>
    <w:next w:val="654"/>
    <w:link w:val="625"/>
    <w:pPr>
      <w:ind w:left="567"/>
      <w:spacing w:after="57"/>
    </w:pPr>
  </w:style>
  <w:style w:type="paragraph" w:styleId="655">
    <w:name w:val="Оглавление 4"/>
    <w:basedOn w:val="625"/>
    <w:next w:val="655"/>
    <w:link w:val="625"/>
    <w:pPr>
      <w:ind w:left="850"/>
      <w:spacing w:after="57"/>
    </w:pPr>
  </w:style>
  <w:style w:type="paragraph" w:styleId="656">
    <w:name w:val="Оглавление 5"/>
    <w:basedOn w:val="625"/>
    <w:next w:val="656"/>
    <w:link w:val="625"/>
    <w:pPr>
      <w:ind w:left="1134"/>
      <w:spacing w:after="57"/>
    </w:pPr>
  </w:style>
  <w:style w:type="paragraph" w:styleId="657">
    <w:name w:val="Оглавление 6"/>
    <w:basedOn w:val="625"/>
    <w:next w:val="657"/>
    <w:link w:val="625"/>
    <w:pPr>
      <w:ind w:left="1417"/>
      <w:spacing w:after="57"/>
    </w:pPr>
  </w:style>
  <w:style w:type="paragraph" w:styleId="658">
    <w:name w:val="Оглавление 7"/>
    <w:basedOn w:val="625"/>
    <w:next w:val="658"/>
    <w:link w:val="625"/>
    <w:pPr>
      <w:ind w:left="1701"/>
      <w:spacing w:after="57"/>
    </w:pPr>
  </w:style>
  <w:style w:type="paragraph" w:styleId="659">
    <w:name w:val="Оглавление 8"/>
    <w:basedOn w:val="625"/>
    <w:next w:val="659"/>
    <w:link w:val="625"/>
    <w:pPr>
      <w:ind w:left="1984"/>
      <w:spacing w:after="57"/>
    </w:pPr>
  </w:style>
  <w:style w:type="paragraph" w:styleId="660">
    <w:name w:val="Оглавление 9"/>
    <w:basedOn w:val="625"/>
    <w:next w:val="660"/>
    <w:link w:val="625"/>
    <w:pPr>
      <w:ind w:left="2268"/>
      <w:spacing w:after="57"/>
    </w:pPr>
  </w:style>
  <w:style w:type="paragraph" w:styleId="661">
    <w:name w:val="Заголовок оглавления"/>
    <w:basedOn w:val="639"/>
    <w:next w:val="661"/>
    <w:link w:val="625"/>
  </w:style>
  <w:style w:type="paragraph" w:styleId="662">
    <w:name w:val="Перечень рисунков"/>
    <w:basedOn w:val="625"/>
    <w:next w:val="662"/>
    <w:link w:val="625"/>
  </w:style>
  <w:style w:type="paragraph" w:styleId="663">
    <w:name w:val="Список"/>
    <w:basedOn w:val="641"/>
    <w:next w:val="663"/>
    <w:link w:val="625"/>
  </w:style>
  <w:style w:type="paragraph" w:styleId="664">
    <w:name w:val="Название объекта"/>
    <w:basedOn w:val="638"/>
    <w:next w:val="664"/>
    <w:link w:val="625"/>
    <w:pPr>
      <w:spacing w:before="120" w:after="120"/>
    </w:pPr>
    <w:rPr>
      <w:i/>
      <w:sz w:val="24"/>
    </w:rPr>
  </w:style>
  <w:style w:type="paragraph" w:styleId="665">
    <w:name w:val="Index"/>
    <w:basedOn w:val="638"/>
    <w:next w:val="665"/>
    <w:link w:val="625"/>
  </w:style>
  <w:style w:type="paragraph" w:styleId="666">
    <w:name w:val="Знак Знак"/>
    <w:basedOn w:val="638"/>
    <w:next w:val="666"/>
    <w:link w:val="625"/>
    <w:pPr>
      <w:spacing w:before="100" w:after="100" w:line="240" w:lineRule="auto"/>
    </w:pPr>
    <w:rPr>
      <w:rFonts w:ascii="Tahoma" w:hAnsi="Tahoma" w:cs="Tahoma"/>
      <w:sz w:val="20"/>
      <w:lang w:val="en-US"/>
    </w:rPr>
  </w:style>
  <w:style w:type="paragraph" w:styleId="667">
    <w:name w:val="Обычный (Интернет)"/>
    <w:basedOn w:val="638"/>
    <w:next w:val="667"/>
    <w:link w:val="625"/>
    <w:pPr>
      <w:spacing w:before="100" w:after="119" w:line="240" w:lineRule="auto"/>
    </w:pPr>
    <w:rPr>
      <w:rFonts w:ascii="Times New Roman" w:hAnsi="Times New Roman" w:cs="Times New Roman"/>
      <w:sz w:val="24"/>
    </w:rPr>
  </w:style>
  <w:style w:type="paragraph" w:styleId="668">
    <w:name w:val="Table Contents"/>
    <w:basedOn w:val="638"/>
    <w:next w:val="668"/>
    <w:link w:val="625"/>
  </w:style>
  <w:style w:type="character" w:styleId="669">
    <w:name w:val="DStyle_text"/>
    <w:next w:val="669"/>
    <w:link w:val="625"/>
  </w:style>
  <w:style w:type="character" w:styleId="670">
    <w:name w:val="Heading 1 Char"/>
    <w:next w:val="670"/>
    <w:link w:val="625"/>
    <w:rPr>
      <w:rFonts w:ascii="Arial" w:hAnsi="Arial" w:cs="Arial"/>
      <w:sz w:val="40"/>
    </w:rPr>
  </w:style>
  <w:style w:type="character" w:styleId="671">
    <w:name w:val="Heading 2 Char"/>
    <w:next w:val="671"/>
    <w:link w:val="625"/>
    <w:rPr>
      <w:rFonts w:ascii="Arial" w:hAnsi="Arial" w:cs="Arial"/>
      <w:sz w:val="34"/>
    </w:rPr>
  </w:style>
  <w:style w:type="character" w:styleId="672">
    <w:name w:val="Heading 3 Char"/>
    <w:next w:val="672"/>
    <w:link w:val="625"/>
    <w:rPr>
      <w:rFonts w:ascii="Arial" w:hAnsi="Arial" w:cs="Arial"/>
      <w:sz w:val="30"/>
    </w:rPr>
  </w:style>
  <w:style w:type="character" w:styleId="673">
    <w:name w:val="Heading 4 Char"/>
    <w:next w:val="673"/>
    <w:link w:val="625"/>
    <w:rPr>
      <w:rFonts w:ascii="Arial" w:hAnsi="Arial" w:cs="Arial"/>
      <w:b/>
      <w:sz w:val="26"/>
    </w:rPr>
  </w:style>
  <w:style w:type="character" w:styleId="674">
    <w:name w:val="Heading 5 Char"/>
    <w:next w:val="674"/>
    <w:link w:val="625"/>
    <w:rPr>
      <w:rFonts w:ascii="Arial" w:hAnsi="Arial" w:cs="Arial"/>
      <w:b/>
      <w:sz w:val="24"/>
    </w:rPr>
  </w:style>
  <w:style w:type="character" w:styleId="675">
    <w:name w:val="Heading 6 Char"/>
    <w:next w:val="675"/>
    <w:link w:val="625"/>
    <w:rPr>
      <w:rFonts w:ascii="Arial" w:hAnsi="Arial" w:cs="Arial"/>
      <w:b/>
      <w:sz w:val="22"/>
    </w:rPr>
  </w:style>
  <w:style w:type="character" w:styleId="676">
    <w:name w:val="Heading 7 Char"/>
    <w:next w:val="676"/>
    <w:link w:val="625"/>
    <w:rPr>
      <w:rFonts w:ascii="Arial" w:hAnsi="Arial" w:cs="Arial"/>
      <w:b/>
      <w:i/>
      <w:sz w:val="22"/>
    </w:rPr>
  </w:style>
  <w:style w:type="character" w:styleId="677">
    <w:name w:val="Heading 8 Char"/>
    <w:next w:val="677"/>
    <w:link w:val="625"/>
    <w:rPr>
      <w:rFonts w:ascii="Arial" w:hAnsi="Arial" w:cs="Arial"/>
      <w:i/>
      <w:sz w:val="22"/>
    </w:rPr>
  </w:style>
  <w:style w:type="character" w:styleId="678">
    <w:name w:val="Heading 9 Char"/>
    <w:next w:val="678"/>
    <w:link w:val="625"/>
    <w:rPr>
      <w:rFonts w:ascii="Arial" w:hAnsi="Arial" w:cs="Arial"/>
      <w:i/>
      <w:sz w:val="21"/>
    </w:rPr>
  </w:style>
  <w:style w:type="character" w:styleId="679">
    <w:name w:val="Title Char"/>
    <w:next w:val="679"/>
    <w:link w:val="625"/>
    <w:rPr>
      <w:sz w:val="48"/>
    </w:rPr>
  </w:style>
  <w:style w:type="character" w:styleId="680">
    <w:name w:val="Subtitle Char"/>
    <w:next w:val="680"/>
    <w:link w:val="625"/>
    <w:rPr>
      <w:sz w:val="24"/>
    </w:rPr>
  </w:style>
  <w:style w:type="character" w:styleId="681">
    <w:name w:val="Quote Char"/>
    <w:next w:val="681"/>
    <w:link w:val="625"/>
    <w:rPr>
      <w:i/>
    </w:rPr>
  </w:style>
  <w:style w:type="character" w:styleId="682">
    <w:name w:val="Intense Quote Char"/>
    <w:next w:val="682"/>
    <w:link w:val="625"/>
    <w:rPr>
      <w:i/>
    </w:rPr>
  </w:style>
  <w:style w:type="character" w:styleId="683">
    <w:name w:val="Header Char"/>
    <w:basedOn w:val="635"/>
    <w:next w:val="683"/>
    <w:link w:val="625"/>
  </w:style>
  <w:style w:type="character" w:styleId="684">
    <w:name w:val="Footer Char"/>
    <w:basedOn w:val="635"/>
    <w:next w:val="684"/>
    <w:link w:val="625"/>
  </w:style>
  <w:style w:type="character" w:styleId="685">
    <w:name w:val="Caption Char"/>
    <w:next w:val="685"/>
    <w:link w:val="625"/>
  </w:style>
  <w:style w:type="character" w:styleId="686">
    <w:name w:val="Гиперссылка"/>
    <w:next w:val="686"/>
    <w:link w:val="625"/>
    <w:rPr>
      <w:color w:val="0000ff"/>
      <w:u w:val="single"/>
    </w:rPr>
  </w:style>
  <w:style w:type="character" w:styleId="687">
    <w:name w:val="Internet link"/>
    <w:next w:val="687"/>
    <w:link w:val="625"/>
    <w:rPr>
      <w:color w:val="0000ff"/>
      <w:u w:val="single"/>
    </w:rPr>
  </w:style>
  <w:style w:type="character" w:styleId="688">
    <w:name w:val="Footnote Text Char"/>
    <w:next w:val="688"/>
    <w:link w:val="625"/>
    <w:rPr>
      <w:sz w:val="18"/>
    </w:rPr>
  </w:style>
  <w:style w:type="character" w:styleId="689">
    <w:name w:val="Знак сноски"/>
    <w:next w:val="689"/>
    <w:link w:val="625"/>
    <w:rPr>
      <w:position w:val="0"/>
      <w:vertAlign w:val="superscript"/>
    </w:rPr>
  </w:style>
  <w:style w:type="character" w:styleId="690">
    <w:name w:val="Endnote Text Char"/>
    <w:next w:val="690"/>
    <w:link w:val="625"/>
    <w:rPr>
      <w:sz w:val="20"/>
    </w:rPr>
  </w:style>
  <w:style w:type="character" w:styleId="691">
    <w:name w:val="Знак концевой сноски"/>
    <w:next w:val="691"/>
    <w:link w:val="625"/>
    <w:rPr>
      <w:position w:val="0"/>
      <w:vertAlign w:val="superscript"/>
    </w:rPr>
  </w:style>
  <w:style w:type="character" w:styleId="692">
    <w:name w:val="Numbering Symbols"/>
    <w:next w:val="692"/>
    <w:link w:val="625"/>
  </w:style>
  <w:style w:type="character" w:styleId="693">
    <w:name w:val="Bullet Symbols"/>
    <w:next w:val="693"/>
    <w:link w:val="625"/>
    <w:rPr>
      <w:rFonts w:ascii="OpenSymbol" w:hAnsi="OpenSymbol" w:cs="OpenSymbol"/>
    </w:rPr>
  </w:style>
  <w:style w:type="character" w:styleId="694">
    <w:name w:val="T1"/>
    <w:next w:val="694"/>
    <w:link w:val="625"/>
    <w:rPr>
      <w:rFonts w:ascii="Arial" w:hAnsi="Arial" w:cs="Arial"/>
    </w:rPr>
  </w:style>
  <w:style w:type="character" w:styleId="695">
    <w:name w:val="T2"/>
    <w:next w:val="695"/>
    <w:link w:val="625"/>
    <w:rPr>
      <w:rFonts w:ascii="Courier New" w:hAnsi="Courier New" w:cs="Courier New"/>
    </w:rPr>
  </w:style>
  <w:style w:type="character" w:styleId="696">
    <w:name w:val="T3"/>
    <w:next w:val="696"/>
    <w:link w:val="625"/>
    <w:rPr>
      <w:rFonts w:ascii="Wingdings" w:hAnsi="Wingdings" w:cs="Wingdings"/>
    </w:rPr>
  </w:style>
  <w:style w:type="character" w:styleId="697">
    <w:name w:val="T4"/>
    <w:next w:val="697"/>
    <w:link w:val="625"/>
    <w:rPr>
      <w:rFonts w:ascii="Symbol" w:hAnsi="Symbol" w:cs="Symbol"/>
    </w:rPr>
  </w:style>
  <w:style w:type="character" w:styleId="698">
    <w:name w:val="T5"/>
    <w:next w:val="698"/>
    <w:link w:val="625"/>
    <w:rPr>
      <w:rFonts w:ascii="Courier New" w:hAnsi="Courier New" w:cs="Courier New"/>
    </w:rPr>
  </w:style>
  <w:style w:type="character" w:styleId="699">
    <w:name w:val="T6"/>
    <w:next w:val="699"/>
    <w:link w:val="625"/>
    <w:rPr>
      <w:rFonts w:ascii="Wingdings" w:hAnsi="Wingdings" w:cs="Wingdings"/>
    </w:rPr>
  </w:style>
  <w:style w:type="character" w:styleId="700">
    <w:name w:val="T7"/>
    <w:next w:val="700"/>
    <w:link w:val="625"/>
    <w:rPr>
      <w:rFonts w:ascii="Symbol" w:hAnsi="Symbol" w:cs="Symbol"/>
    </w:rPr>
  </w:style>
  <w:style w:type="character" w:styleId="701">
    <w:name w:val="T8"/>
    <w:next w:val="701"/>
    <w:link w:val="625"/>
    <w:rPr>
      <w:rFonts w:ascii="Courier New" w:hAnsi="Courier New" w:cs="Courier New"/>
    </w:rPr>
  </w:style>
  <w:style w:type="character" w:styleId="702">
    <w:name w:val="T9"/>
    <w:next w:val="702"/>
    <w:link w:val="625"/>
    <w:rPr>
      <w:rFonts w:ascii="Wingdings" w:hAnsi="Wingdings" w:cs="Wingdings"/>
    </w:rPr>
  </w:style>
  <w:style w:type="character" w:styleId="703">
    <w:name w:val="Неразрешенное упоминание"/>
    <w:next w:val="703"/>
    <w:link w:val="625"/>
    <w:uiPriority w:val="99"/>
    <w:semiHidden/>
    <w:unhideWhenUsed/>
    <w:rPr>
      <w:color w:val="605e5c"/>
      <w:shd w:val="clear" w:color="auto" w:fill="e1dfdd"/>
    </w:rPr>
  </w:style>
  <w:style w:type="numbering" w:styleId="704">
    <w:name w:val="WWNum1"/>
    <w:basedOn w:val="637"/>
    <w:next w:val="704"/>
    <w:link w:val="625"/>
    <w:pPr>
      <w:numPr>
        <w:ilvl w:val="0"/>
        <w:numId w:val="1"/>
      </w:numPr>
    </w:pPr>
  </w:style>
  <w:style w:type="numbering" w:styleId="705">
    <w:name w:val="WWNum2"/>
    <w:basedOn w:val="637"/>
    <w:next w:val="705"/>
    <w:link w:val="625"/>
    <w:pPr>
      <w:numPr>
        <w:ilvl w:val="0"/>
        <w:numId w:val="2"/>
      </w:numPr>
    </w:pPr>
  </w:style>
  <w:style w:type="numbering" w:styleId="706">
    <w:name w:val="WWNum3"/>
    <w:basedOn w:val="637"/>
    <w:next w:val="706"/>
    <w:link w:val="625"/>
    <w:pPr>
      <w:numPr>
        <w:ilvl w:val="0"/>
        <w:numId w:val="3"/>
      </w:numPr>
    </w:pPr>
  </w:style>
  <w:style w:type="numbering" w:styleId="707">
    <w:name w:val="WWNum4"/>
    <w:basedOn w:val="637"/>
    <w:next w:val="707"/>
    <w:link w:val="625"/>
    <w:pPr>
      <w:numPr>
        <w:ilvl w:val="0"/>
        <w:numId w:val="4"/>
      </w:numPr>
    </w:pPr>
  </w:style>
  <w:style w:type="character" w:styleId="1283" w:default="1">
    <w:name w:val="Default Paragraph Font"/>
    <w:uiPriority w:val="1"/>
    <w:semiHidden/>
    <w:unhideWhenUsed/>
  </w:style>
  <w:style w:type="numbering" w:styleId="1284" w:default="1">
    <w:name w:val="No List"/>
    <w:uiPriority w:val="99"/>
    <w:semiHidden/>
    <w:unhideWhenUsed/>
  </w:style>
  <w:style w:type="table" w:styleId="128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Созонова Т.В.. Татьяна Валерьевна</dc:creator>
  <cp:lastModifiedBy>user11</cp:lastModifiedBy>
  <cp:revision>22</cp:revision>
  <dcterms:created xsi:type="dcterms:W3CDTF">2025-10-29T05:57:00Z</dcterms:created>
  <dcterms:modified xsi:type="dcterms:W3CDTF">2026-10-06T04:29:48Z</dcterms:modified>
  <cp:version>1048576</cp:version>
</cp:coreProperties>
</file>